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91B" w:rsidRDefault="0067291B" w:rsidP="0067291B">
      <w:pPr>
        <w:pStyle w:val="Title"/>
      </w:pPr>
      <w:r>
        <w:t>ENGINEERING REPORT:</w:t>
      </w:r>
    </w:p>
    <w:tbl>
      <w:tblPr>
        <w:tblW w:w="10494" w:type="dxa"/>
        <w:jc w:val="center"/>
        <w:tblInd w:w="792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52"/>
        <w:gridCol w:w="1818"/>
        <w:gridCol w:w="252"/>
        <w:gridCol w:w="1611"/>
        <w:gridCol w:w="1971"/>
        <w:gridCol w:w="538"/>
        <w:gridCol w:w="1820"/>
        <w:gridCol w:w="1980"/>
        <w:gridCol w:w="252"/>
      </w:tblGrid>
      <w:tr w:rsidR="00527809" w:rsidRPr="00D33207" w:rsidTr="00043A66">
        <w:trPr>
          <w:gridBefore w:val="1"/>
          <w:wBefore w:w="252" w:type="dxa"/>
          <w:jc w:val="center"/>
        </w:trPr>
        <w:tc>
          <w:tcPr>
            <w:tcW w:w="10242" w:type="dxa"/>
            <w:gridSpan w:val="8"/>
            <w:shd w:val="clear" w:color="auto" w:fill="FFFFCC"/>
            <w:vAlign w:val="center"/>
          </w:tcPr>
          <w:p w:rsidR="00527809" w:rsidRPr="00D33207" w:rsidRDefault="00527809" w:rsidP="00043A66">
            <w:pPr>
              <w:overflowPunct w:val="0"/>
              <w:autoSpaceDE w:val="0"/>
              <w:autoSpaceDN w:val="0"/>
              <w:adjustRightInd w:val="0"/>
              <w:textAlignment w:val="baseline"/>
              <w:rPr>
                <w:rFonts w:ascii="Arial" w:hAnsi="Arial" w:cs="Arial"/>
                <w:b/>
                <w:szCs w:val="24"/>
              </w:rPr>
            </w:pPr>
            <w:r>
              <w:rPr>
                <w:rFonts w:ascii="Arial" w:hAnsi="Arial" w:cs="Arial"/>
                <w:b/>
                <w:szCs w:val="24"/>
              </w:rPr>
              <w:t>Project Information:</w:t>
            </w:r>
          </w:p>
        </w:tc>
      </w:tr>
      <w:tr w:rsidR="00527809" w:rsidRPr="00D33207" w:rsidTr="00043A66">
        <w:trPr>
          <w:gridBefore w:val="1"/>
          <w:wBefore w:w="252" w:type="dxa"/>
          <w:trHeight w:val="321"/>
          <w:jc w:val="center"/>
        </w:trPr>
        <w:tc>
          <w:tcPr>
            <w:tcW w:w="2070" w:type="dxa"/>
            <w:gridSpan w:val="2"/>
            <w:vAlign w:val="center"/>
          </w:tcPr>
          <w:p w:rsidR="00527809" w:rsidRPr="00D33207" w:rsidRDefault="00527809" w:rsidP="00043A66">
            <w:pPr>
              <w:overflowPunct w:val="0"/>
              <w:autoSpaceDE w:val="0"/>
              <w:autoSpaceDN w:val="0"/>
              <w:adjustRightInd w:val="0"/>
              <w:textAlignment w:val="baseline"/>
              <w:rPr>
                <w:rFonts w:ascii="Arial" w:hAnsi="Arial" w:cs="Arial"/>
                <w:szCs w:val="24"/>
              </w:rPr>
            </w:pPr>
            <w:r>
              <w:rPr>
                <w:rFonts w:ascii="Arial" w:hAnsi="Arial" w:cs="Arial"/>
                <w:szCs w:val="24"/>
              </w:rPr>
              <w:t>Report Title</w:t>
            </w:r>
          </w:p>
        </w:tc>
        <w:tc>
          <w:tcPr>
            <w:tcW w:w="8172" w:type="dxa"/>
            <w:gridSpan w:val="6"/>
            <w:vAlign w:val="center"/>
          </w:tcPr>
          <w:p w:rsidR="00527809" w:rsidRPr="00D33207" w:rsidRDefault="0046082A" w:rsidP="00670D45">
            <w:pPr>
              <w:overflowPunct w:val="0"/>
              <w:autoSpaceDE w:val="0"/>
              <w:autoSpaceDN w:val="0"/>
              <w:adjustRightInd w:val="0"/>
              <w:textAlignment w:val="baseline"/>
              <w:rPr>
                <w:rFonts w:ascii="Arial" w:hAnsi="Arial" w:cs="Arial"/>
                <w:szCs w:val="24"/>
              </w:rPr>
            </w:pPr>
            <w:r>
              <w:rPr>
                <w:rFonts w:ascii="Arial" w:hAnsi="Arial"/>
                <w:szCs w:val="24"/>
              </w:rPr>
              <w:t>Evaluating A New Over Temp Switch in The TUV and PDA  Refresh Detectors</w:t>
            </w:r>
          </w:p>
        </w:tc>
      </w:tr>
      <w:tr w:rsidR="00527809" w:rsidRPr="00D33207" w:rsidTr="00043A66">
        <w:trPr>
          <w:gridAfter w:val="1"/>
          <w:wAfter w:w="252" w:type="dxa"/>
          <w:trHeight w:val="321"/>
          <w:jc w:val="center"/>
        </w:trPr>
        <w:tc>
          <w:tcPr>
            <w:tcW w:w="2070" w:type="dxa"/>
            <w:gridSpan w:val="2"/>
            <w:vAlign w:val="center"/>
          </w:tcPr>
          <w:p w:rsidR="00527809" w:rsidRDefault="00527809" w:rsidP="00043A66">
            <w:pPr>
              <w:overflowPunct w:val="0"/>
              <w:autoSpaceDE w:val="0"/>
              <w:autoSpaceDN w:val="0"/>
              <w:adjustRightInd w:val="0"/>
              <w:textAlignment w:val="baseline"/>
              <w:rPr>
                <w:rFonts w:ascii="Arial" w:hAnsi="Arial" w:cs="Arial"/>
                <w:szCs w:val="24"/>
              </w:rPr>
            </w:pPr>
            <w:r>
              <w:rPr>
                <w:rFonts w:ascii="Arial" w:hAnsi="Arial" w:cs="Arial"/>
                <w:szCs w:val="24"/>
              </w:rPr>
              <w:t>Author</w:t>
            </w:r>
          </w:p>
        </w:tc>
        <w:tc>
          <w:tcPr>
            <w:tcW w:w="8172" w:type="dxa"/>
            <w:gridSpan w:val="6"/>
            <w:vAlign w:val="center"/>
          </w:tcPr>
          <w:p w:rsidR="00527809" w:rsidRPr="00D33207" w:rsidRDefault="000C34C9" w:rsidP="00043A66">
            <w:pPr>
              <w:overflowPunct w:val="0"/>
              <w:autoSpaceDE w:val="0"/>
              <w:autoSpaceDN w:val="0"/>
              <w:adjustRightInd w:val="0"/>
              <w:textAlignment w:val="baseline"/>
              <w:rPr>
                <w:rFonts w:ascii="Arial" w:hAnsi="Arial" w:cs="Arial"/>
                <w:szCs w:val="24"/>
              </w:rPr>
            </w:pPr>
            <w:r>
              <w:rPr>
                <w:rFonts w:ascii="Arial" w:hAnsi="Arial" w:cs="Arial"/>
                <w:szCs w:val="24"/>
              </w:rPr>
              <w:t>Ziad El-Massih</w:t>
            </w:r>
          </w:p>
        </w:tc>
      </w:tr>
      <w:tr w:rsidR="00527809" w:rsidRPr="00D33207" w:rsidTr="00043A66">
        <w:trPr>
          <w:gridBefore w:val="1"/>
          <w:wBefore w:w="252" w:type="dxa"/>
          <w:trHeight w:val="321"/>
          <w:jc w:val="center"/>
        </w:trPr>
        <w:tc>
          <w:tcPr>
            <w:tcW w:w="2070" w:type="dxa"/>
            <w:gridSpan w:val="2"/>
            <w:vAlign w:val="center"/>
          </w:tcPr>
          <w:p w:rsidR="00527809" w:rsidRDefault="00527809" w:rsidP="00043A66">
            <w:pPr>
              <w:overflowPunct w:val="0"/>
              <w:autoSpaceDE w:val="0"/>
              <w:autoSpaceDN w:val="0"/>
              <w:adjustRightInd w:val="0"/>
              <w:textAlignment w:val="baseline"/>
              <w:rPr>
                <w:rFonts w:ascii="Arial" w:hAnsi="Arial" w:cs="Arial"/>
                <w:szCs w:val="24"/>
              </w:rPr>
            </w:pPr>
            <w:r>
              <w:rPr>
                <w:rFonts w:ascii="Arial" w:hAnsi="Arial" w:cs="Arial"/>
                <w:szCs w:val="24"/>
              </w:rPr>
              <w:t>Date</w:t>
            </w:r>
          </w:p>
        </w:tc>
        <w:tc>
          <w:tcPr>
            <w:tcW w:w="8172" w:type="dxa"/>
            <w:gridSpan w:val="6"/>
            <w:vAlign w:val="center"/>
          </w:tcPr>
          <w:p w:rsidR="00527809" w:rsidRPr="00D33207" w:rsidRDefault="0046082A" w:rsidP="00752B3D">
            <w:pPr>
              <w:overflowPunct w:val="0"/>
              <w:autoSpaceDE w:val="0"/>
              <w:autoSpaceDN w:val="0"/>
              <w:adjustRightInd w:val="0"/>
              <w:textAlignment w:val="baseline"/>
              <w:rPr>
                <w:rFonts w:ascii="Arial" w:hAnsi="Arial" w:cs="Arial"/>
                <w:szCs w:val="24"/>
              </w:rPr>
            </w:pPr>
            <w:r>
              <w:rPr>
                <w:rFonts w:ascii="Arial" w:hAnsi="Arial" w:cs="Arial"/>
                <w:szCs w:val="24"/>
              </w:rPr>
              <w:t>7</w:t>
            </w:r>
            <w:r w:rsidR="000C34C9">
              <w:rPr>
                <w:rFonts w:ascii="Arial" w:hAnsi="Arial" w:cs="Arial"/>
                <w:szCs w:val="24"/>
              </w:rPr>
              <w:t xml:space="preserve"> </w:t>
            </w:r>
            <w:r w:rsidR="00670D45">
              <w:rPr>
                <w:rFonts w:ascii="Arial" w:hAnsi="Arial" w:cs="Arial"/>
                <w:szCs w:val="24"/>
              </w:rPr>
              <w:t>May</w:t>
            </w:r>
            <w:r w:rsidR="000C34C9">
              <w:rPr>
                <w:rFonts w:ascii="Arial" w:hAnsi="Arial" w:cs="Arial"/>
                <w:szCs w:val="24"/>
              </w:rPr>
              <w:t xml:space="preserve"> 201</w:t>
            </w:r>
            <w:r w:rsidR="00752B3D">
              <w:rPr>
                <w:rFonts w:ascii="Arial" w:hAnsi="Arial" w:cs="Arial"/>
                <w:szCs w:val="24"/>
              </w:rPr>
              <w:t>4</w:t>
            </w:r>
          </w:p>
        </w:tc>
      </w:tr>
      <w:tr w:rsidR="00527809" w:rsidRPr="00D33207" w:rsidTr="00043A66">
        <w:trPr>
          <w:gridBefore w:val="1"/>
          <w:wBefore w:w="252" w:type="dxa"/>
          <w:trHeight w:val="321"/>
          <w:jc w:val="center"/>
        </w:trPr>
        <w:tc>
          <w:tcPr>
            <w:tcW w:w="2070" w:type="dxa"/>
            <w:gridSpan w:val="2"/>
            <w:vAlign w:val="center"/>
          </w:tcPr>
          <w:p w:rsidR="00527809" w:rsidRPr="00D33207" w:rsidRDefault="00527809" w:rsidP="00043A66">
            <w:pPr>
              <w:overflowPunct w:val="0"/>
              <w:autoSpaceDE w:val="0"/>
              <w:autoSpaceDN w:val="0"/>
              <w:adjustRightInd w:val="0"/>
              <w:textAlignment w:val="baseline"/>
              <w:rPr>
                <w:rFonts w:ascii="Arial" w:hAnsi="Arial" w:cs="Arial"/>
                <w:szCs w:val="24"/>
              </w:rPr>
            </w:pPr>
            <w:r>
              <w:rPr>
                <w:rFonts w:ascii="Arial" w:hAnsi="Arial" w:cs="Arial"/>
                <w:szCs w:val="24"/>
              </w:rPr>
              <w:t>Project Name</w:t>
            </w:r>
          </w:p>
        </w:tc>
        <w:tc>
          <w:tcPr>
            <w:tcW w:w="4120" w:type="dxa"/>
            <w:gridSpan w:val="3"/>
            <w:vAlign w:val="center"/>
          </w:tcPr>
          <w:p w:rsidR="00527809" w:rsidRPr="00D33207" w:rsidRDefault="00527809" w:rsidP="00043A66">
            <w:pPr>
              <w:overflowPunct w:val="0"/>
              <w:autoSpaceDE w:val="0"/>
              <w:autoSpaceDN w:val="0"/>
              <w:adjustRightInd w:val="0"/>
              <w:textAlignment w:val="baseline"/>
              <w:rPr>
                <w:rFonts w:ascii="Arial" w:hAnsi="Arial" w:cs="Arial"/>
                <w:szCs w:val="24"/>
              </w:rPr>
            </w:pPr>
          </w:p>
        </w:tc>
        <w:tc>
          <w:tcPr>
            <w:tcW w:w="4052" w:type="dxa"/>
            <w:gridSpan w:val="3"/>
            <w:vAlign w:val="center"/>
          </w:tcPr>
          <w:p w:rsidR="00527809" w:rsidRPr="00D33207" w:rsidRDefault="00527809" w:rsidP="00043A66">
            <w:pPr>
              <w:overflowPunct w:val="0"/>
              <w:autoSpaceDE w:val="0"/>
              <w:autoSpaceDN w:val="0"/>
              <w:adjustRightInd w:val="0"/>
              <w:textAlignment w:val="baseline"/>
              <w:rPr>
                <w:rFonts w:ascii="Arial" w:hAnsi="Arial" w:cs="Arial"/>
                <w:szCs w:val="24"/>
              </w:rPr>
            </w:pPr>
            <w:r>
              <w:rPr>
                <w:rFonts w:ascii="Arial" w:hAnsi="Arial" w:cs="Arial"/>
                <w:szCs w:val="24"/>
              </w:rPr>
              <w:t>Room #:</w:t>
            </w:r>
          </w:p>
        </w:tc>
      </w:tr>
      <w:tr w:rsidR="00527809" w:rsidRPr="00D33207" w:rsidTr="00043A66">
        <w:trPr>
          <w:gridBefore w:val="1"/>
          <w:wBefore w:w="252" w:type="dxa"/>
          <w:trHeight w:val="321"/>
          <w:jc w:val="center"/>
        </w:trPr>
        <w:tc>
          <w:tcPr>
            <w:tcW w:w="2070" w:type="dxa"/>
            <w:gridSpan w:val="2"/>
            <w:vAlign w:val="center"/>
          </w:tcPr>
          <w:p w:rsidR="00527809" w:rsidRDefault="00527809" w:rsidP="00043A66">
            <w:pPr>
              <w:overflowPunct w:val="0"/>
              <w:autoSpaceDE w:val="0"/>
              <w:autoSpaceDN w:val="0"/>
              <w:adjustRightInd w:val="0"/>
              <w:textAlignment w:val="baseline"/>
              <w:rPr>
                <w:rFonts w:ascii="Arial" w:hAnsi="Arial" w:cs="Arial"/>
                <w:szCs w:val="24"/>
              </w:rPr>
            </w:pPr>
            <w:r>
              <w:rPr>
                <w:rFonts w:ascii="Arial" w:hAnsi="Arial" w:cs="Arial"/>
                <w:szCs w:val="24"/>
              </w:rPr>
              <w:t>Product Name</w:t>
            </w:r>
          </w:p>
        </w:tc>
        <w:tc>
          <w:tcPr>
            <w:tcW w:w="4120" w:type="dxa"/>
            <w:gridSpan w:val="3"/>
            <w:vAlign w:val="center"/>
          </w:tcPr>
          <w:p w:rsidR="00527809" w:rsidRPr="00D33207" w:rsidRDefault="00752B3D" w:rsidP="00043A66">
            <w:pPr>
              <w:overflowPunct w:val="0"/>
              <w:autoSpaceDE w:val="0"/>
              <w:autoSpaceDN w:val="0"/>
              <w:adjustRightInd w:val="0"/>
              <w:textAlignment w:val="baseline"/>
              <w:rPr>
                <w:rFonts w:ascii="Arial" w:hAnsi="Arial" w:cs="Arial"/>
                <w:szCs w:val="24"/>
              </w:rPr>
            </w:pPr>
            <w:r>
              <w:rPr>
                <w:rFonts w:ascii="Arial" w:hAnsi="Arial" w:cs="Arial"/>
                <w:szCs w:val="24"/>
              </w:rPr>
              <w:t>2489</w:t>
            </w:r>
            <w:r w:rsidR="00670D45">
              <w:rPr>
                <w:rFonts w:ascii="Arial" w:hAnsi="Arial" w:cs="Arial"/>
                <w:szCs w:val="24"/>
              </w:rPr>
              <w:t xml:space="preserve"> Refresh</w:t>
            </w:r>
            <w:r>
              <w:rPr>
                <w:rFonts w:ascii="Arial" w:hAnsi="Arial" w:cs="Arial"/>
                <w:szCs w:val="24"/>
              </w:rPr>
              <w:t xml:space="preserve"> &amp; 2998 Refresh</w:t>
            </w:r>
          </w:p>
        </w:tc>
        <w:tc>
          <w:tcPr>
            <w:tcW w:w="4052" w:type="dxa"/>
            <w:gridSpan w:val="3"/>
            <w:vAlign w:val="center"/>
          </w:tcPr>
          <w:p w:rsidR="00527809" w:rsidRPr="00D33207" w:rsidRDefault="00527809" w:rsidP="00043A66">
            <w:pPr>
              <w:overflowPunct w:val="0"/>
              <w:autoSpaceDE w:val="0"/>
              <w:autoSpaceDN w:val="0"/>
              <w:adjustRightInd w:val="0"/>
              <w:textAlignment w:val="baseline"/>
              <w:rPr>
                <w:rFonts w:ascii="Arial" w:hAnsi="Arial" w:cs="Arial"/>
                <w:szCs w:val="24"/>
              </w:rPr>
            </w:pPr>
            <w:r>
              <w:rPr>
                <w:rFonts w:ascii="Arial" w:hAnsi="Arial" w:cs="Arial"/>
                <w:szCs w:val="24"/>
              </w:rPr>
              <w:t>DIR #:</w:t>
            </w:r>
          </w:p>
        </w:tc>
      </w:tr>
      <w:tr w:rsidR="00527809" w:rsidRPr="00D33207" w:rsidTr="00413A89">
        <w:trPr>
          <w:gridBefore w:val="1"/>
          <w:wBefore w:w="252" w:type="dxa"/>
          <w:trHeight w:val="317"/>
          <w:jc w:val="center"/>
        </w:trPr>
        <w:tc>
          <w:tcPr>
            <w:tcW w:w="2070" w:type="dxa"/>
            <w:gridSpan w:val="2"/>
            <w:tcBorders>
              <w:bottom w:val="single" w:sz="12" w:space="0" w:color="auto"/>
            </w:tcBorders>
            <w:vAlign w:val="center"/>
          </w:tcPr>
          <w:p w:rsidR="00527809" w:rsidRDefault="00527809" w:rsidP="00043A66">
            <w:pPr>
              <w:overflowPunct w:val="0"/>
              <w:autoSpaceDE w:val="0"/>
              <w:autoSpaceDN w:val="0"/>
              <w:adjustRightInd w:val="0"/>
              <w:textAlignment w:val="baseline"/>
              <w:rPr>
                <w:rFonts w:ascii="Arial" w:hAnsi="Arial" w:cs="Arial"/>
                <w:szCs w:val="24"/>
              </w:rPr>
            </w:pPr>
            <w:r>
              <w:rPr>
                <w:rFonts w:ascii="Arial" w:hAnsi="Arial" w:cs="Arial"/>
                <w:szCs w:val="24"/>
              </w:rPr>
              <w:t>Report Type</w:t>
            </w:r>
          </w:p>
        </w:tc>
        <w:tc>
          <w:tcPr>
            <w:tcW w:w="1611" w:type="dxa"/>
            <w:vAlign w:val="center"/>
          </w:tcPr>
          <w:p w:rsidR="00527809" w:rsidRPr="00D33207" w:rsidRDefault="00527809" w:rsidP="00043A66">
            <w:pPr>
              <w:overflowPunct w:val="0"/>
              <w:autoSpaceDE w:val="0"/>
              <w:autoSpaceDN w:val="0"/>
              <w:adjustRightInd w:val="0"/>
              <w:textAlignment w:val="baseline"/>
              <w:rPr>
                <w:rFonts w:ascii="Arial" w:hAnsi="Arial" w:cs="Arial"/>
                <w:szCs w:val="24"/>
              </w:rPr>
            </w:pPr>
            <w:r>
              <w:rPr>
                <w:rFonts w:ascii="Arial" w:hAnsi="Arial" w:cs="Arial"/>
                <w:szCs w:val="24"/>
              </w:rPr>
              <w:t>(  ) Test Plan</w:t>
            </w:r>
          </w:p>
        </w:tc>
        <w:tc>
          <w:tcPr>
            <w:tcW w:w="1971" w:type="dxa"/>
            <w:vAlign w:val="center"/>
          </w:tcPr>
          <w:p w:rsidR="00527809" w:rsidRPr="00D33207" w:rsidRDefault="00527809" w:rsidP="00413A89">
            <w:pPr>
              <w:overflowPunct w:val="0"/>
              <w:autoSpaceDE w:val="0"/>
              <w:autoSpaceDN w:val="0"/>
              <w:adjustRightInd w:val="0"/>
              <w:textAlignment w:val="baseline"/>
              <w:rPr>
                <w:rFonts w:ascii="Arial" w:hAnsi="Arial" w:cs="Arial"/>
                <w:szCs w:val="24"/>
              </w:rPr>
            </w:pPr>
            <w:r>
              <w:rPr>
                <w:rFonts w:ascii="Arial" w:hAnsi="Arial" w:cs="Arial"/>
                <w:szCs w:val="24"/>
              </w:rPr>
              <w:t xml:space="preserve">( </w:t>
            </w:r>
            <w:r w:rsidR="00413A89">
              <w:rPr>
                <w:rFonts w:ascii="Arial" w:hAnsi="Arial" w:cs="Arial"/>
                <w:szCs w:val="24"/>
              </w:rPr>
              <w:t>X</w:t>
            </w:r>
            <w:r>
              <w:rPr>
                <w:rFonts w:ascii="Arial" w:hAnsi="Arial" w:cs="Arial"/>
                <w:szCs w:val="24"/>
              </w:rPr>
              <w:t xml:space="preserve">) Test </w:t>
            </w:r>
            <w:r w:rsidR="00413A89">
              <w:rPr>
                <w:rFonts w:ascii="Arial" w:hAnsi="Arial" w:cs="Arial"/>
                <w:szCs w:val="24"/>
              </w:rPr>
              <w:t>R</w:t>
            </w:r>
            <w:r>
              <w:rPr>
                <w:rFonts w:ascii="Arial" w:hAnsi="Arial" w:cs="Arial"/>
                <w:szCs w:val="24"/>
              </w:rPr>
              <w:t>eport</w:t>
            </w:r>
          </w:p>
        </w:tc>
        <w:tc>
          <w:tcPr>
            <w:tcW w:w="2358" w:type="dxa"/>
            <w:gridSpan w:val="2"/>
            <w:vAlign w:val="center"/>
          </w:tcPr>
          <w:p w:rsidR="00527809" w:rsidRDefault="00527809" w:rsidP="00043A66">
            <w:r w:rsidRPr="0038536C">
              <w:rPr>
                <w:rFonts w:ascii="Arial" w:hAnsi="Arial" w:cs="Arial"/>
                <w:szCs w:val="24"/>
              </w:rPr>
              <w:t xml:space="preserve">(  ) </w:t>
            </w:r>
            <w:r>
              <w:rPr>
                <w:rFonts w:ascii="Arial" w:hAnsi="Arial" w:cs="Arial"/>
                <w:szCs w:val="24"/>
              </w:rPr>
              <w:t>Design Analysis</w:t>
            </w:r>
          </w:p>
        </w:tc>
        <w:tc>
          <w:tcPr>
            <w:tcW w:w="2232" w:type="dxa"/>
            <w:gridSpan w:val="2"/>
            <w:vAlign w:val="center"/>
          </w:tcPr>
          <w:p w:rsidR="00527809" w:rsidRDefault="002D1F36" w:rsidP="00413A89">
            <w:pPr>
              <w:ind w:right="-126"/>
            </w:pPr>
            <w:r>
              <w:rPr>
                <w:rFonts w:ascii="Arial" w:hAnsi="Arial" w:cs="Arial"/>
                <w:szCs w:val="24"/>
              </w:rPr>
              <w:t>(</w:t>
            </w:r>
            <w:r w:rsidR="00527809" w:rsidRPr="0038536C">
              <w:rPr>
                <w:rFonts w:ascii="Arial" w:hAnsi="Arial" w:cs="Arial"/>
                <w:szCs w:val="24"/>
              </w:rPr>
              <w:t xml:space="preserve">) </w:t>
            </w:r>
            <w:r w:rsidR="00527809">
              <w:rPr>
                <w:rFonts w:ascii="Arial" w:hAnsi="Arial" w:cs="Arial"/>
                <w:szCs w:val="24"/>
              </w:rPr>
              <w:t>Failure Analysis</w:t>
            </w:r>
          </w:p>
        </w:tc>
      </w:tr>
      <w:tr w:rsidR="00043A66" w:rsidRPr="00D33207" w:rsidTr="00043A66">
        <w:trPr>
          <w:gridBefore w:val="1"/>
          <w:wBefore w:w="252" w:type="dxa"/>
          <w:trHeight w:val="321"/>
          <w:jc w:val="center"/>
        </w:trPr>
        <w:tc>
          <w:tcPr>
            <w:tcW w:w="2070" w:type="dxa"/>
            <w:gridSpan w:val="2"/>
            <w:tcBorders>
              <w:right w:val="nil"/>
            </w:tcBorders>
            <w:vAlign w:val="center"/>
          </w:tcPr>
          <w:p w:rsidR="00043A66" w:rsidRDefault="00043A66" w:rsidP="00F33B91">
            <w:pPr>
              <w:overflowPunct w:val="0"/>
              <w:autoSpaceDE w:val="0"/>
              <w:autoSpaceDN w:val="0"/>
              <w:adjustRightInd w:val="0"/>
              <w:textAlignment w:val="baseline"/>
              <w:rPr>
                <w:rFonts w:ascii="Arial" w:hAnsi="Arial" w:cs="Arial"/>
                <w:szCs w:val="24"/>
              </w:rPr>
            </w:pPr>
          </w:p>
        </w:tc>
        <w:tc>
          <w:tcPr>
            <w:tcW w:w="8172" w:type="dxa"/>
            <w:gridSpan w:val="6"/>
            <w:tcBorders>
              <w:left w:val="nil"/>
            </w:tcBorders>
            <w:vAlign w:val="center"/>
          </w:tcPr>
          <w:p w:rsidR="00043A66" w:rsidRPr="00D33207" w:rsidRDefault="00043A66" w:rsidP="00F33B91">
            <w:pPr>
              <w:overflowPunct w:val="0"/>
              <w:autoSpaceDE w:val="0"/>
              <w:autoSpaceDN w:val="0"/>
              <w:adjustRightInd w:val="0"/>
              <w:textAlignment w:val="baseline"/>
              <w:rPr>
                <w:rFonts w:ascii="Arial" w:hAnsi="Arial" w:cs="Arial"/>
                <w:szCs w:val="24"/>
              </w:rPr>
            </w:pPr>
            <w:r>
              <w:rPr>
                <w:rFonts w:ascii="Arial" w:hAnsi="Arial" w:cs="Arial"/>
                <w:szCs w:val="24"/>
              </w:rPr>
              <w:t>(  ) Other (explain)</w:t>
            </w:r>
          </w:p>
        </w:tc>
      </w:tr>
    </w:tbl>
    <w:p w:rsidR="00403011" w:rsidRDefault="00403011" w:rsidP="00043A66">
      <w:pPr>
        <w:rPr>
          <w:rFonts w:ascii="Arial" w:hAnsi="Arial" w:cs="Arial"/>
        </w:rPr>
      </w:pPr>
    </w:p>
    <w:p w:rsidR="00F172A6" w:rsidRDefault="00F172A6" w:rsidP="00F172A6">
      <w:pPr>
        <w:rPr>
          <w:sz w:val="28"/>
          <w:szCs w:val="28"/>
        </w:rPr>
      </w:pPr>
    </w:p>
    <w:p w:rsidR="00F172A6" w:rsidRPr="008031CC" w:rsidRDefault="00F172A6" w:rsidP="0067291B">
      <w:pPr>
        <w:pStyle w:val="TOC1"/>
      </w:pPr>
      <w:r w:rsidRPr="009F7C3D">
        <w:t>Table of Contents</w:t>
      </w:r>
    </w:p>
    <w:p w:rsidR="004A090F" w:rsidRDefault="00F172A6">
      <w:pPr>
        <w:pStyle w:val="TOC1"/>
        <w:rPr>
          <w:rFonts w:asciiTheme="minorHAnsi" w:eastAsiaTheme="minorEastAsia" w:hAnsiTheme="minorHAnsi" w:cstheme="minorBidi"/>
          <w:b w:val="0"/>
          <w:noProof/>
          <w:sz w:val="22"/>
          <w:szCs w:val="22"/>
        </w:rPr>
      </w:pPr>
      <w:r>
        <w:fldChar w:fldCharType="begin"/>
      </w:r>
      <w:r>
        <w:instrText xml:space="preserve"> TOC \o "1-3" \u </w:instrText>
      </w:r>
      <w:r>
        <w:fldChar w:fldCharType="separate"/>
      </w:r>
      <w:r w:rsidR="004A090F">
        <w:rPr>
          <w:noProof/>
        </w:rPr>
        <w:t>1.0</w:t>
      </w:r>
      <w:r w:rsidR="004A090F">
        <w:rPr>
          <w:rFonts w:asciiTheme="minorHAnsi" w:eastAsiaTheme="minorEastAsia" w:hAnsiTheme="minorHAnsi" w:cstheme="minorBidi"/>
          <w:b w:val="0"/>
          <w:noProof/>
          <w:sz w:val="22"/>
          <w:szCs w:val="22"/>
        </w:rPr>
        <w:tab/>
      </w:r>
      <w:r w:rsidR="004A090F">
        <w:rPr>
          <w:noProof/>
        </w:rPr>
        <w:t>Objectives</w:t>
      </w:r>
      <w:r w:rsidR="004A090F">
        <w:rPr>
          <w:noProof/>
        </w:rPr>
        <w:tab/>
      </w:r>
      <w:r w:rsidR="004A090F">
        <w:rPr>
          <w:noProof/>
        </w:rPr>
        <w:fldChar w:fldCharType="begin"/>
      </w:r>
      <w:r w:rsidR="004A090F">
        <w:rPr>
          <w:noProof/>
        </w:rPr>
        <w:instrText xml:space="preserve"> PAGEREF _Toc387306690 \h </w:instrText>
      </w:r>
      <w:r w:rsidR="004A090F">
        <w:rPr>
          <w:noProof/>
        </w:rPr>
      </w:r>
      <w:r w:rsidR="004A090F">
        <w:rPr>
          <w:noProof/>
        </w:rPr>
        <w:fldChar w:fldCharType="separate"/>
      </w:r>
      <w:r w:rsidR="00A70300">
        <w:rPr>
          <w:noProof/>
        </w:rPr>
        <w:t>2</w:t>
      </w:r>
      <w:r w:rsidR="004A090F">
        <w:rPr>
          <w:noProof/>
        </w:rPr>
        <w:fldChar w:fldCharType="end"/>
      </w:r>
    </w:p>
    <w:p w:rsidR="004A090F" w:rsidRDefault="004A090F">
      <w:pPr>
        <w:pStyle w:val="TOC1"/>
        <w:rPr>
          <w:rFonts w:asciiTheme="minorHAnsi" w:eastAsiaTheme="minorEastAsia" w:hAnsiTheme="minorHAnsi" w:cstheme="minorBidi"/>
          <w:b w:val="0"/>
          <w:noProof/>
          <w:sz w:val="22"/>
          <w:szCs w:val="22"/>
        </w:rPr>
      </w:pPr>
      <w:r>
        <w:rPr>
          <w:noProof/>
        </w:rPr>
        <w:t>2.0</w:t>
      </w:r>
      <w:r>
        <w:rPr>
          <w:rFonts w:asciiTheme="minorHAnsi" w:eastAsiaTheme="minorEastAsia" w:hAnsiTheme="minorHAnsi" w:cstheme="minorBidi"/>
          <w:b w:val="0"/>
          <w:noProof/>
          <w:sz w:val="22"/>
          <w:szCs w:val="22"/>
        </w:rPr>
        <w:tab/>
      </w:r>
      <w:r>
        <w:rPr>
          <w:noProof/>
        </w:rPr>
        <w:t>Background</w:t>
      </w:r>
      <w:r>
        <w:rPr>
          <w:noProof/>
        </w:rPr>
        <w:tab/>
      </w:r>
      <w:r>
        <w:rPr>
          <w:noProof/>
        </w:rPr>
        <w:fldChar w:fldCharType="begin"/>
      </w:r>
      <w:r>
        <w:rPr>
          <w:noProof/>
        </w:rPr>
        <w:instrText xml:space="preserve"> PAGEREF _Toc387306691 \h </w:instrText>
      </w:r>
      <w:r>
        <w:rPr>
          <w:noProof/>
        </w:rPr>
      </w:r>
      <w:r>
        <w:rPr>
          <w:noProof/>
        </w:rPr>
        <w:fldChar w:fldCharType="separate"/>
      </w:r>
      <w:r w:rsidR="00A70300">
        <w:rPr>
          <w:noProof/>
        </w:rPr>
        <w:t>2</w:t>
      </w:r>
      <w:r>
        <w:rPr>
          <w:noProof/>
        </w:rPr>
        <w:fldChar w:fldCharType="end"/>
      </w:r>
    </w:p>
    <w:p w:rsidR="004A090F" w:rsidRDefault="004A090F">
      <w:pPr>
        <w:pStyle w:val="TOC1"/>
        <w:rPr>
          <w:rFonts w:asciiTheme="minorHAnsi" w:eastAsiaTheme="minorEastAsia" w:hAnsiTheme="minorHAnsi" w:cstheme="minorBidi"/>
          <w:b w:val="0"/>
          <w:noProof/>
          <w:sz w:val="22"/>
          <w:szCs w:val="22"/>
        </w:rPr>
      </w:pPr>
      <w:r>
        <w:rPr>
          <w:noProof/>
        </w:rPr>
        <w:t>3.0</w:t>
      </w:r>
      <w:r>
        <w:rPr>
          <w:rFonts w:asciiTheme="minorHAnsi" w:eastAsiaTheme="minorEastAsia" w:hAnsiTheme="minorHAnsi" w:cstheme="minorBidi"/>
          <w:b w:val="0"/>
          <w:noProof/>
          <w:sz w:val="22"/>
          <w:szCs w:val="22"/>
        </w:rPr>
        <w:tab/>
      </w:r>
      <w:r>
        <w:rPr>
          <w:noProof/>
        </w:rPr>
        <w:t>Summary and Recommendations</w:t>
      </w:r>
      <w:r>
        <w:rPr>
          <w:noProof/>
        </w:rPr>
        <w:tab/>
      </w:r>
      <w:r>
        <w:rPr>
          <w:noProof/>
        </w:rPr>
        <w:fldChar w:fldCharType="begin"/>
      </w:r>
      <w:r>
        <w:rPr>
          <w:noProof/>
        </w:rPr>
        <w:instrText xml:space="preserve"> PAGEREF _Toc387306692 \h </w:instrText>
      </w:r>
      <w:r>
        <w:rPr>
          <w:noProof/>
        </w:rPr>
      </w:r>
      <w:r>
        <w:rPr>
          <w:noProof/>
        </w:rPr>
        <w:fldChar w:fldCharType="separate"/>
      </w:r>
      <w:r w:rsidR="00A70300">
        <w:rPr>
          <w:noProof/>
        </w:rPr>
        <w:t>4</w:t>
      </w:r>
      <w:r>
        <w:rPr>
          <w:noProof/>
        </w:rPr>
        <w:fldChar w:fldCharType="end"/>
      </w:r>
    </w:p>
    <w:p w:rsidR="004A090F" w:rsidRDefault="004A090F">
      <w:pPr>
        <w:pStyle w:val="TOC1"/>
        <w:rPr>
          <w:rFonts w:asciiTheme="minorHAnsi" w:eastAsiaTheme="minorEastAsia" w:hAnsiTheme="minorHAnsi" w:cstheme="minorBidi"/>
          <w:b w:val="0"/>
          <w:noProof/>
          <w:sz w:val="22"/>
          <w:szCs w:val="22"/>
        </w:rPr>
      </w:pPr>
      <w:r>
        <w:rPr>
          <w:noProof/>
        </w:rPr>
        <w:t>4.0</w:t>
      </w:r>
      <w:r>
        <w:rPr>
          <w:rFonts w:asciiTheme="minorHAnsi" w:eastAsiaTheme="minorEastAsia" w:hAnsiTheme="minorHAnsi" w:cstheme="minorBidi"/>
          <w:b w:val="0"/>
          <w:noProof/>
          <w:sz w:val="22"/>
          <w:szCs w:val="22"/>
        </w:rPr>
        <w:tab/>
      </w:r>
      <w:r>
        <w:rPr>
          <w:noProof/>
        </w:rPr>
        <w:t>Conclusions</w:t>
      </w:r>
      <w:r>
        <w:rPr>
          <w:noProof/>
        </w:rPr>
        <w:tab/>
      </w:r>
      <w:r>
        <w:rPr>
          <w:noProof/>
        </w:rPr>
        <w:fldChar w:fldCharType="begin"/>
      </w:r>
      <w:r>
        <w:rPr>
          <w:noProof/>
        </w:rPr>
        <w:instrText xml:space="preserve"> PAGEREF _Toc387306693 \h </w:instrText>
      </w:r>
      <w:r>
        <w:rPr>
          <w:noProof/>
        </w:rPr>
      </w:r>
      <w:r>
        <w:rPr>
          <w:noProof/>
        </w:rPr>
        <w:fldChar w:fldCharType="separate"/>
      </w:r>
      <w:r w:rsidR="00A70300">
        <w:rPr>
          <w:noProof/>
        </w:rPr>
        <w:t>4</w:t>
      </w:r>
      <w:r>
        <w:rPr>
          <w:noProof/>
        </w:rPr>
        <w:fldChar w:fldCharType="end"/>
      </w:r>
    </w:p>
    <w:p w:rsidR="004A090F" w:rsidRDefault="004A090F">
      <w:pPr>
        <w:pStyle w:val="TOC1"/>
        <w:rPr>
          <w:rFonts w:asciiTheme="minorHAnsi" w:eastAsiaTheme="minorEastAsia" w:hAnsiTheme="minorHAnsi" w:cstheme="minorBidi"/>
          <w:b w:val="0"/>
          <w:noProof/>
          <w:sz w:val="22"/>
          <w:szCs w:val="22"/>
        </w:rPr>
      </w:pPr>
      <w:r>
        <w:rPr>
          <w:noProof/>
        </w:rPr>
        <w:t>5.0</w:t>
      </w:r>
      <w:r>
        <w:rPr>
          <w:rFonts w:asciiTheme="minorHAnsi" w:eastAsiaTheme="minorEastAsia" w:hAnsiTheme="minorHAnsi" w:cstheme="minorBidi"/>
          <w:b w:val="0"/>
          <w:noProof/>
          <w:sz w:val="22"/>
          <w:szCs w:val="22"/>
        </w:rPr>
        <w:tab/>
      </w:r>
      <w:r>
        <w:rPr>
          <w:noProof/>
        </w:rPr>
        <w:t>References</w:t>
      </w:r>
      <w:r>
        <w:rPr>
          <w:noProof/>
        </w:rPr>
        <w:tab/>
      </w:r>
      <w:r>
        <w:rPr>
          <w:noProof/>
        </w:rPr>
        <w:fldChar w:fldCharType="begin"/>
      </w:r>
      <w:r>
        <w:rPr>
          <w:noProof/>
        </w:rPr>
        <w:instrText xml:space="preserve"> PAGEREF _Toc387306694 \h </w:instrText>
      </w:r>
      <w:r>
        <w:rPr>
          <w:noProof/>
        </w:rPr>
      </w:r>
      <w:r>
        <w:rPr>
          <w:noProof/>
        </w:rPr>
        <w:fldChar w:fldCharType="separate"/>
      </w:r>
      <w:r w:rsidR="00A70300">
        <w:rPr>
          <w:noProof/>
        </w:rPr>
        <w:t>4</w:t>
      </w:r>
      <w:r>
        <w:rPr>
          <w:noProof/>
        </w:rPr>
        <w:fldChar w:fldCharType="end"/>
      </w:r>
    </w:p>
    <w:p w:rsidR="004A090F" w:rsidRDefault="004A090F">
      <w:pPr>
        <w:pStyle w:val="TOC1"/>
        <w:rPr>
          <w:rFonts w:asciiTheme="minorHAnsi" w:eastAsiaTheme="minorEastAsia" w:hAnsiTheme="minorHAnsi" w:cstheme="minorBidi"/>
          <w:b w:val="0"/>
          <w:noProof/>
          <w:sz w:val="22"/>
          <w:szCs w:val="22"/>
        </w:rPr>
      </w:pPr>
      <w:r>
        <w:rPr>
          <w:noProof/>
        </w:rPr>
        <w:t>6.0</w:t>
      </w:r>
      <w:r>
        <w:rPr>
          <w:rFonts w:asciiTheme="minorHAnsi" w:eastAsiaTheme="minorEastAsia" w:hAnsiTheme="minorHAnsi" w:cstheme="minorBidi"/>
          <w:b w:val="0"/>
          <w:noProof/>
          <w:sz w:val="22"/>
          <w:szCs w:val="22"/>
        </w:rPr>
        <w:tab/>
      </w:r>
      <w:r>
        <w:rPr>
          <w:noProof/>
        </w:rPr>
        <w:t>Definitions</w:t>
      </w:r>
      <w:r>
        <w:rPr>
          <w:noProof/>
        </w:rPr>
        <w:tab/>
      </w:r>
      <w:r>
        <w:rPr>
          <w:noProof/>
        </w:rPr>
        <w:fldChar w:fldCharType="begin"/>
      </w:r>
      <w:r>
        <w:rPr>
          <w:noProof/>
        </w:rPr>
        <w:instrText xml:space="preserve"> PAGEREF _Toc387306695 \h </w:instrText>
      </w:r>
      <w:r>
        <w:rPr>
          <w:noProof/>
        </w:rPr>
      </w:r>
      <w:r>
        <w:rPr>
          <w:noProof/>
        </w:rPr>
        <w:fldChar w:fldCharType="separate"/>
      </w:r>
      <w:r w:rsidR="00A70300">
        <w:rPr>
          <w:noProof/>
        </w:rPr>
        <w:t>4</w:t>
      </w:r>
      <w:r>
        <w:rPr>
          <w:noProof/>
        </w:rPr>
        <w:fldChar w:fldCharType="end"/>
      </w:r>
    </w:p>
    <w:p w:rsidR="004A090F" w:rsidRDefault="004A090F">
      <w:pPr>
        <w:pStyle w:val="TOC1"/>
        <w:rPr>
          <w:rFonts w:asciiTheme="minorHAnsi" w:eastAsiaTheme="minorEastAsia" w:hAnsiTheme="minorHAnsi" w:cstheme="minorBidi"/>
          <w:b w:val="0"/>
          <w:noProof/>
          <w:sz w:val="22"/>
          <w:szCs w:val="22"/>
        </w:rPr>
      </w:pPr>
      <w:r>
        <w:rPr>
          <w:noProof/>
        </w:rPr>
        <w:t>7.0</w:t>
      </w:r>
      <w:r>
        <w:rPr>
          <w:rFonts w:asciiTheme="minorHAnsi" w:eastAsiaTheme="minorEastAsia" w:hAnsiTheme="minorHAnsi" w:cstheme="minorBidi"/>
          <w:b w:val="0"/>
          <w:noProof/>
          <w:sz w:val="22"/>
          <w:szCs w:val="22"/>
        </w:rPr>
        <w:tab/>
      </w:r>
      <w:r>
        <w:rPr>
          <w:noProof/>
        </w:rPr>
        <w:t>Device under Test or Analysis</w:t>
      </w:r>
      <w:r>
        <w:rPr>
          <w:noProof/>
        </w:rPr>
        <w:tab/>
      </w:r>
      <w:r>
        <w:rPr>
          <w:noProof/>
        </w:rPr>
        <w:fldChar w:fldCharType="begin"/>
      </w:r>
      <w:r>
        <w:rPr>
          <w:noProof/>
        </w:rPr>
        <w:instrText xml:space="preserve"> PAGEREF _Toc387306696 \h </w:instrText>
      </w:r>
      <w:r>
        <w:rPr>
          <w:noProof/>
        </w:rPr>
      </w:r>
      <w:r>
        <w:rPr>
          <w:noProof/>
        </w:rPr>
        <w:fldChar w:fldCharType="separate"/>
      </w:r>
      <w:r w:rsidR="00A70300">
        <w:rPr>
          <w:noProof/>
        </w:rPr>
        <w:t>5</w:t>
      </w:r>
      <w:r>
        <w:rPr>
          <w:noProof/>
        </w:rPr>
        <w:fldChar w:fldCharType="end"/>
      </w:r>
    </w:p>
    <w:p w:rsidR="004A090F" w:rsidRDefault="004A090F">
      <w:pPr>
        <w:pStyle w:val="TOC1"/>
        <w:rPr>
          <w:rFonts w:asciiTheme="minorHAnsi" w:eastAsiaTheme="minorEastAsia" w:hAnsiTheme="minorHAnsi" w:cstheme="minorBidi"/>
          <w:b w:val="0"/>
          <w:noProof/>
          <w:sz w:val="22"/>
          <w:szCs w:val="22"/>
        </w:rPr>
      </w:pPr>
      <w:r>
        <w:rPr>
          <w:noProof/>
        </w:rPr>
        <w:t>8.0</w:t>
      </w:r>
      <w:r>
        <w:rPr>
          <w:rFonts w:asciiTheme="minorHAnsi" w:eastAsiaTheme="minorEastAsia" w:hAnsiTheme="minorHAnsi" w:cstheme="minorBidi"/>
          <w:b w:val="0"/>
          <w:noProof/>
          <w:sz w:val="22"/>
          <w:szCs w:val="22"/>
        </w:rPr>
        <w:tab/>
      </w:r>
      <w:r>
        <w:rPr>
          <w:noProof/>
        </w:rPr>
        <w:t>Procedure</w:t>
      </w:r>
      <w:r>
        <w:rPr>
          <w:noProof/>
        </w:rPr>
        <w:tab/>
      </w:r>
      <w:r>
        <w:rPr>
          <w:noProof/>
        </w:rPr>
        <w:fldChar w:fldCharType="begin"/>
      </w:r>
      <w:r>
        <w:rPr>
          <w:noProof/>
        </w:rPr>
        <w:instrText xml:space="preserve"> PAGEREF _Toc387306697 \h </w:instrText>
      </w:r>
      <w:r>
        <w:rPr>
          <w:noProof/>
        </w:rPr>
      </w:r>
      <w:r>
        <w:rPr>
          <w:noProof/>
        </w:rPr>
        <w:fldChar w:fldCharType="separate"/>
      </w:r>
      <w:r w:rsidR="00A70300">
        <w:rPr>
          <w:noProof/>
        </w:rPr>
        <w:t>5</w:t>
      </w:r>
      <w:r>
        <w:rPr>
          <w:noProof/>
        </w:rPr>
        <w:fldChar w:fldCharType="end"/>
      </w:r>
    </w:p>
    <w:p w:rsidR="004A090F" w:rsidRDefault="004A090F">
      <w:pPr>
        <w:pStyle w:val="TOC2"/>
        <w:tabs>
          <w:tab w:val="left" w:pos="880"/>
          <w:tab w:val="right" w:leader="dot" w:pos="11510"/>
        </w:tabs>
        <w:rPr>
          <w:rFonts w:asciiTheme="minorHAnsi" w:eastAsiaTheme="minorEastAsia" w:hAnsiTheme="minorHAnsi" w:cstheme="minorBidi"/>
          <w:noProof/>
          <w:sz w:val="22"/>
          <w:szCs w:val="22"/>
        </w:rPr>
      </w:pPr>
      <w:r>
        <w:rPr>
          <w:noProof/>
        </w:rPr>
        <w:t>8.1</w:t>
      </w:r>
      <w:r>
        <w:rPr>
          <w:rFonts w:asciiTheme="minorHAnsi" w:eastAsiaTheme="minorEastAsia" w:hAnsiTheme="minorHAnsi" w:cstheme="minorBidi"/>
          <w:noProof/>
          <w:sz w:val="22"/>
          <w:szCs w:val="22"/>
        </w:rPr>
        <w:tab/>
      </w:r>
      <w:r>
        <w:rPr>
          <w:noProof/>
        </w:rPr>
        <w:t>Second Evaluation - Using Samples with Beryllium Copper C17510 Spring Contact Arm</w:t>
      </w:r>
      <w:r>
        <w:rPr>
          <w:noProof/>
        </w:rPr>
        <w:tab/>
      </w:r>
      <w:r>
        <w:rPr>
          <w:noProof/>
        </w:rPr>
        <w:fldChar w:fldCharType="begin"/>
      </w:r>
      <w:r>
        <w:rPr>
          <w:noProof/>
        </w:rPr>
        <w:instrText xml:space="preserve"> PAGEREF _Toc387306698 \h </w:instrText>
      </w:r>
      <w:r>
        <w:rPr>
          <w:noProof/>
        </w:rPr>
      </w:r>
      <w:r>
        <w:rPr>
          <w:noProof/>
        </w:rPr>
        <w:fldChar w:fldCharType="separate"/>
      </w:r>
      <w:r w:rsidR="00A70300">
        <w:rPr>
          <w:noProof/>
        </w:rPr>
        <w:t>5</w:t>
      </w:r>
      <w:r>
        <w:rPr>
          <w:noProof/>
        </w:rPr>
        <w:fldChar w:fldCharType="end"/>
      </w:r>
    </w:p>
    <w:p w:rsidR="004A090F" w:rsidRDefault="004A090F">
      <w:pPr>
        <w:pStyle w:val="TOC3"/>
        <w:tabs>
          <w:tab w:val="left" w:pos="1320"/>
          <w:tab w:val="right" w:leader="dot" w:pos="11510"/>
        </w:tabs>
        <w:rPr>
          <w:rFonts w:asciiTheme="minorHAnsi" w:eastAsiaTheme="minorEastAsia" w:hAnsiTheme="minorHAnsi" w:cstheme="minorBidi"/>
          <w:noProof/>
          <w:sz w:val="22"/>
          <w:szCs w:val="22"/>
        </w:rPr>
      </w:pPr>
      <w:r>
        <w:rPr>
          <w:noProof/>
        </w:rPr>
        <w:t>8.1.1</w:t>
      </w:r>
      <w:r>
        <w:rPr>
          <w:rFonts w:asciiTheme="minorHAnsi" w:eastAsiaTheme="minorEastAsia" w:hAnsiTheme="minorHAnsi" w:cstheme="minorBidi"/>
          <w:noProof/>
          <w:sz w:val="22"/>
          <w:szCs w:val="22"/>
        </w:rPr>
        <w:tab/>
      </w:r>
      <w:r>
        <w:rPr>
          <w:noProof/>
        </w:rPr>
        <w:t>Baseline Using the Current OTS</w:t>
      </w:r>
      <w:r>
        <w:rPr>
          <w:noProof/>
        </w:rPr>
        <w:tab/>
      </w:r>
      <w:r>
        <w:rPr>
          <w:noProof/>
        </w:rPr>
        <w:fldChar w:fldCharType="begin"/>
      </w:r>
      <w:r>
        <w:rPr>
          <w:noProof/>
        </w:rPr>
        <w:instrText xml:space="preserve"> PAGEREF _Toc387306699 \h </w:instrText>
      </w:r>
      <w:r>
        <w:rPr>
          <w:noProof/>
        </w:rPr>
      </w:r>
      <w:r>
        <w:rPr>
          <w:noProof/>
        </w:rPr>
        <w:fldChar w:fldCharType="separate"/>
      </w:r>
      <w:r w:rsidR="00A70300">
        <w:rPr>
          <w:noProof/>
        </w:rPr>
        <w:t>5</w:t>
      </w:r>
      <w:r>
        <w:rPr>
          <w:noProof/>
        </w:rPr>
        <w:fldChar w:fldCharType="end"/>
      </w:r>
    </w:p>
    <w:p w:rsidR="004A090F" w:rsidRDefault="004A090F">
      <w:pPr>
        <w:pStyle w:val="TOC3"/>
        <w:tabs>
          <w:tab w:val="left" w:pos="1320"/>
          <w:tab w:val="right" w:leader="dot" w:pos="11510"/>
        </w:tabs>
        <w:rPr>
          <w:rFonts w:asciiTheme="minorHAnsi" w:eastAsiaTheme="minorEastAsia" w:hAnsiTheme="minorHAnsi" w:cstheme="minorBidi"/>
          <w:noProof/>
          <w:sz w:val="22"/>
          <w:szCs w:val="22"/>
        </w:rPr>
      </w:pPr>
      <w:r>
        <w:rPr>
          <w:noProof/>
        </w:rPr>
        <w:t>8.1.2</w:t>
      </w:r>
      <w:r>
        <w:rPr>
          <w:rFonts w:asciiTheme="minorHAnsi" w:eastAsiaTheme="minorEastAsia" w:hAnsiTheme="minorHAnsi" w:cstheme="minorBidi"/>
          <w:noProof/>
          <w:sz w:val="22"/>
          <w:szCs w:val="22"/>
        </w:rPr>
        <w:tab/>
      </w:r>
      <w:r>
        <w:rPr>
          <w:noProof/>
        </w:rPr>
        <w:t>Testing Five Samples of the Proposed Sensata OTS with Beryllium Copper C17510 Spring Contact Arm</w:t>
      </w:r>
      <w:r>
        <w:rPr>
          <w:noProof/>
        </w:rPr>
        <w:tab/>
      </w:r>
      <w:r>
        <w:rPr>
          <w:noProof/>
        </w:rPr>
        <w:fldChar w:fldCharType="begin"/>
      </w:r>
      <w:r>
        <w:rPr>
          <w:noProof/>
        </w:rPr>
        <w:instrText xml:space="preserve"> PAGEREF _Toc387306700 \h </w:instrText>
      </w:r>
      <w:r>
        <w:rPr>
          <w:noProof/>
        </w:rPr>
      </w:r>
      <w:r>
        <w:rPr>
          <w:noProof/>
        </w:rPr>
        <w:fldChar w:fldCharType="separate"/>
      </w:r>
      <w:r w:rsidR="00A70300">
        <w:rPr>
          <w:noProof/>
        </w:rPr>
        <w:t>6</w:t>
      </w:r>
      <w:r>
        <w:rPr>
          <w:noProof/>
        </w:rPr>
        <w:fldChar w:fldCharType="end"/>
      </w:r>
    </w:p>
    <w:p w:rsidR="004A090F" w:rsidRDefault="004A090F">
      <w:pPr>
        <w:pStyle w:val="TOC3"/>
        <w:tabs>
          <w:tab w:val="left" w:pos="1320"/>
          <w:tab w:val="right" w:leader="dot" w:pos="11510"/>
        </w:tabs>
        <w:rPr>
          <w:rFonts w:asciiTheme="minorHAnsi" w:eastAsiaTheme="minorEastAsia" w:hAnsiTheme="minorHAnsi" w:cstheme="minorBidi"/>
          <w:noProof/>
          <w:sz w:val="22"/>
          <w:szCs w:val="22"/>
        </w:rPr>
      </w:pPr>
      <w:r>
        <w:rPr>
          <w:noProof/>
        </w:rPr>
        <w:t>8.1.3</w:t>
      </w:r>
      <w:r>
        <w:rPr>
          <w:rFonts w:asciiTheme="minorHAnsi" w:eastAsiaTheme="minorEastAsia" w:hAnsiTheme="minorHAnsi" w:cstheme="minorBidi"/>
          <w:noProof/>
          <w:sz w:val="22"/>
          <w:szCs w:val="22"/>
        </w:rPr>
        <w:tab/>
      </w:r>
      <w:r>
        <w:rPr>
          <w:noProof/>
        </w:rPr>
        <w:t>Testing Five Samples of the Previously Proposed Sensata OTS with Beryllium Copper C17500 spring Contact Arm</w:t>
      </w:r>
      <w:r>
        <w:rPr>
          <w:noProof/>
        </w:rPr>
        <w:tab/>
      </w:r>
      <w:r>
        <w:rPr>
          <w:noProof/>
        </w:rPr>
        <w:fldChar w:fldCharType="begin"/>
      </w:r>
      <w:r>
        <w:rPr>
          <w:noProof/>
        </w:rPr>
        <w:instrText xml:space="preserve"> PAGEREF _Toc387306701 \h </w:instrText>
      </w:r>
      <w:r>
        <w:rPr>
          <w:noProof/>
        </w:rPr>
      </w:r>
      <w:r>
        <w:rPr>
          <w:noProof/>
        </w:rPr>
        <w:fldChar w:fldCharType="separate"/>
      </w:r>
      <w:r w:rsidR="00A70300">
        <w:rPr>
          <w:noProof/>
        </w:rPr>
        <w:t>6</w:t>
      </w:r>
      <w:r>
        <w:rPr>
          <w:noProof/>
        </w:rPr>
        <w:fldChar w:fldCharType="end"/>
      </w:r>
    </w:p>
    <w:p w:rsidR="004A090F" w:rsidRDefault="004A090F">
      <w:pPr>
        <w:pStyle w:val="TOC1"/>
        <w:rPr>
          <w:rFonts w:asciiTheme="minorHAnsi" w:eastAsiaTheme="minorEastAsia" w:hAnsiTheme="minorHAnsi" w:cstheme="minorBidi"/>
          <w:b w:val="0"/>
          <w:noProof/>
          <w:sz w:val="22"/>
          <w:szCs w:val="22"/>
        </w:rPr>
      </w:pPr>
      <w:r>
        <w:rPr>
          <w:noProof/>
        </w:rPr>
        <w:t>9.0</w:t>
      </w:r>
      <w:r>
        <w:rPr>
          <w:rFonts w:asciiTheme="minorHAnsi" w:eastAsiaTheme="minorEastAsia" w:hAnsiTheme="minorHAnsi" w:cstheme="minorBidi"/>
          <w:b w:val="0"/>
          <w:noProof/>
          <w:sz w:val="22"/>
          <w:szCs w:val="22"/>
        </w:rPr>
        <w:tab/>
      </w:r>
      <w:r>
        <w:rPr>
          <w:noProof/>
        </w:rPr>
        <w:t>Equipment</w:t>
      </w:r>
      <w:r>
        <w:rPr>
          <w:noProof/>
        </w:rPr>
        <w:tab/>
      </w:r>
      <w:r>
        <w:rPr>
          <w:noProof/>
        </w:rPr>
        <w:fldChar w:fldCharType="begin"/>
      </w:r>
      <w:r>
        <w:rPr>
          <w:noProof/>
        </w:rPr>
        <w:instrText xml:space="preserve"> PAGEREF _Toc387306702 \h </w:instrText>
      </w:r>
      <w:r>
        <w:rPr>
          <w:noProof/>
        </w:rPr>
      </w:r>
      <w:r>
        <w:rPr>
          <w:noProof/>
        </w:rPr>
        <w:fldChar w:fldCharType="separate"/>
      </w:r>
      <w:r w:rsidR="00A70300">
        <w:rPr>
          <w:noProof/>
        </w:rPr>
        <w:t>6</w:t>
      </w:r>
      <w:r>
        <w:rPr>
          <w:noProof/>
        </w:rPr>
        <w:fldChar w:fldCharType="end"/>
      </w:r>
    </w:p>
    <w:p w:rsidR="004A090F" w:rsidRDefault="004A090F">
      <w:pPr>
        <w:pStyle w:val="TOC1"/>
        <w:rPr>
          <w:rFonts w:asciiTheme="minorHAnsi" w:eastAsiaTheme="minorEastAsia" w:hAnsiTheme="minorHAnsi" w:cstheme="minorBidi"/>
          <w:b w:val="0"/>
          <w:noProof/>
          <w:sz w:val="22"/>
          <w:szCs w:val="22"/>
        </w:rPr>
      </w:pPr>
      <w:r>
        <w:rPr>
          <w:noProof/>
        </w:rPr>
        <w:t>10.0</w:t>
      </w:r>
      <w:r>
        <w:rPr>
          <w:rFonts w:asciiTheme="minorHAnsi" w:eastAsiaTheme="minorEastAsia" w:hAnsiTheme="minorHAnsi" w:cstheme="minorBidi"/>
          <w:b w:val="0"/>
          <w:noProof/>
          <w:sz w:val="22"/>
          <w:szCs w:val="22"/>
        </w:rPr>
        <w:tab/>
      </w:r>
      <w:r>
        <w:rPr>
          <w:noProof/>
        </w:rPr>
        <w:t>Results and Discussion</w:t>
      </w:r>
      <w:r>
        <w:rPr>
          <w:noProof/>
        </w:rPr>
        <w:tab/>
      </w:r>
      <w:r>
        <w:rPr>
          <w:noProof/>
        </w:rPr>
        <w:fldChar w:fldCharType="begin"/>
      </w:r>
      <w:r>
        <w:rPr>
          <w:noProof/>
        </w:rPr>
        <w:instrText xml:space="preserve"> PAGEREF _Toc387306703 \h </w:instrText>
      </w:r>
      <w:r>
        <w:rPr>
          <w:noProof/>
        </w:rPr>
      </w:r>
      <w:r>
        <w:rPr>
          <w:noProof/>
        </w:rPr>
        <w:fldChar w:fldCharType="separate"/>
      </w:r>
      <w:r w:rsidR="00A70300">
        <w:rPr>
          <w:noProof/>
        </w:rPr>
        <w:t>7</w:t>
      </w:r>
      <w:r>
        <w:rPr>
          <w:noProof/>
        </w:rPr>
        <w:fldChar w:fldCharType="end"/>
      </w:r>
    </w:p>
    <w:p w:rsidR="00F172A6" w:rsidRPr="00B438A3" w:rsidRDefault="00F172A6" w:rsidP="00B438A3">
      <w:pPr>
        <w:rPr>
          <w:bCs/>
        </w:rPr>
      </w:pPr>
      <w:r>
        <w:fldChar w:fldCharType="end"/>
      </w:r>
    </w:p>
    <w:p w:rsidR="0067291B" w:rsidRPr="0067291B" w:rsidRDefault="00B438A3" w:rsidP="0061180B">
      <w:pPr>
        <w:pStyle w:val="Heading1"/>
        <w:numPr>
          <w:ilvl w:val="0"/>
          <w:numId w:val="2"/>
        </w:numPr>
      </w:pPr>
      <w:r>
        <w:br w:type="page"/>
      </w:r>
      <w:bookmarkStart w:id="0" w:name="_Toc387306690"/>
      <w:r w:rsidR="00F172A6">
        <w:lastRenderedPageBreak/>
        <w:t>Objectives</w:t>
      </w:r>
      <w:bookmarkEnd w:id="0"/>
    </w:p>
    <w:p w:rsidR="00E2677D" w:rsidRDefault="00FA326B" w:rsidP="00E2677D">
      <w:r>
        <w:t>The objective of this evaluation is to evaluate a new cost reduced over temperature switch, which is used in the 2489 and 2998 Refresh Detectors</w:t>
      </w:r>
      <w:r w:rsidR="00E2677D">
        <w:t>.</w:t>
      </w:r>
      <w:r>
        <w:t xml:space="preserve"> The current Over Temp Switch cable costs $31.40 while the new proposed solution, Switch and cable, co</w:t>
      </w:r>
      <w:bookmarkStart w:id="1" w:name="_GoBack"/>
      <w:bookmarkEnd w:id="1"/>
      <w:r>
        <w:t xml:space="preserve">sts about $11.92. That’s a saving of $19.48 </w:t>
      </w:r>
      <w:r w:rsidR="00CF583B">
        <w:t>per cable. For a yearly usage of 3000 instruments per year, the estimated yearly cost savin</w:t>
      </w:r>
      <w:r w:rsidR="00A13D41">
        <w:t>g</w:t>
      </w:r>
      <w:r w:rsidR="00CF583B">
        <w:t xml:space="preserve"> is $58,443. </w:t>
      </w:r>
      <w:r w:rsidR="00A13D41">
        <w:t>Only the 2489 TUV and 2998 PDA Refresh detectors are targeted for this change.</w:t>
      </w:r>
    </w:p>
    <w:p w:rsidR="00752B3D" w:rsidRDefault="00752B3D" w:rsidP="00E2677D"/>
    <w:p w:rsidR="00752B3D" w:rsidRDefault="00752B3D" w:rsidP="00E2677D">
      <w:r>
        <w:t xml:space="preserve">After approving the new thermostat from Sensata, parts to manufacture the thermostats had encountered procurement challenges and threatened </w:t>
      </w:r>
      <w:r w:rsidR="00637F97">
        <w:t>to cause the Waters m</w:t>
      </w:r>
      <w:r>
        <w:t>anufacturing of the 2 detector models that use the thermostat to be shut down for few weeks. The manufacturer Sensata proposed to change the material of the spring contact arm from beryllium copper C17500 to beryllium copper C17510</w:t>
      </w:r>
      <w:r w:rsidR="00637F97">
        <w:t>. The new material is readily available while the previous material has very long lead time</w:t>
      </w:r>
      <w:r>
        <w:t>. The material differences are very minor. Sensata conducted</w:t>
      </w:r>
      <w:r w:rsidR="00637F97">
        <w:t xml:space="preserve"> full evaluation to validate </w:t>
      </w:r>
      <w:r>
        <w:t xml:space="preserve">the new material. </w:t>
      </w:r>
      <w:r w:rsidR="00637F97">
        <w:t>Sensata also</w:t>
      </w:r>
      <w:r>
        <w:t xml:space="preserve"> had conducted a reliability test with more than 25,000 successful cycles. </w:t>
      </w:r>
      <w:r w:rsidR="00637F97">
        <w:t xml:space="preserve">The testing was conducted on </w:t>
      </w:r>
      <w:r>
        <w:t>thermostat</w:t>
      </w:r>
      <w:r w:rsidR="00637F97">
        <w:t>s from the same model but with different temperature settings.</w:t>
      </w:r>
    </w:p>
    <w:p w:rsidR="00752B3D" w:rsidRDefault="00752B3D" w:rsidP="00E2677D"/>
    <w:p w:rsidR="00752B3D" w:rsidRDefault="00752B3D" w:rsidP="00E2677D">
      <w:r>
        <w:t xml:space="preserve">Since the material is not specifically called out in the UL/CSA files and the part number of the thermostat will not change, there is no need to edit our safety approval records and Sensata doesn’t need to update </w:t>
      </w:r>
      <w:r w:rsidR="00637F97">
        <w:t xml:space="preserve">the </w:t>
      </w:r>
      <w:r>
        <w:t>UL/CSA qualification</w:t>
      </w:r>
      <w:r w:rsidR="00637F97">
        <w:t xml:space="preserve"> for that part</w:t>
      </w:r>
      <w:r>
        <w:t>.</w:t>
      </w:r>
    </w:p>
    <w:p w:rsidR="00752B3D" w:rsidRDefault="00752B3D" w:rsidP="00E2677D"/>
    <w:p w:rsidR="00752B3D" w:rsidRPr="00E2677D" w:rsidRDefault="00752B3D" w:rsidP="00E2677D">
      <w:r>
        <w:t>The objective of this reevaluation is to ensure the functionality of the new thermostat with the new beryllium copper C17510. Five samples are evaluated and compared to the previous samples made with beryllium copper C17500</w:t>
      </w:r>
      <w:r w:rsidR="0048060E">
        <w:t xml:space="preserve"> and the original thermostat made by Selco.</w:t>
      </w:r>
    </w:p>
    <w:p w:rsidR="00F172A6" w:rsidRPr="0067291B" w:rsidRDefault="00F172A6" w:rsidP="0061180B">
      <w:pPr>
        <w:pStyle w:val="Heading1"/>
        <w:numPr>
          <w:ilvl w:val="0"/>
          <w:numId w:val="2"/>
        </w:numPr>
      </w:pPr>
      <w:bookmarkStart w:id="2" w:name="_Toc387306691"/>
      <w:r>
        <w:t>Background</w:t>
      </w:r>
      <w:bookmarkEnd w:id="2"/>
    </w:p>
    <w:p w:rsidR="005D01BF" w:rsidRDefault="00A13D41" w:rsidP="00AA4E00">
      <w:pPr>
        <w:rPr>
          <w:szCs w:val="22"/>
        </w:rPr>
      </w:pPr>
      <w:r>
        <w:rPr>
          <w:szCs w:val="22"/>
        </w:rPr>
        <w:t>For the past 15 years, all TUV and PDA detectors had utilized a 70</w:t>
      </w:r>
      <w:r>
        <w:rPr>
          <w:rFonts w:ascii="Arial" w:hAnsi="Arial" w:cs="Arial"/>
          <w:szCs w:val="22"/>
        </w:rPr>
        <w:t>°</w:t>
      </w:r>
      <w:r>
        <w:rPr>
          <w:szCs w:val="22"/>
        </w:rPr>
        <w:t xml:space="preserve">C Over Temperature Switch </w:t>
      </w:r>
      <w:r w:rsidR="005D01BF">
        <w:rPr>
          <w:szCs w:val="22"/>
        </w:rPr>
        <w:t>(OTS)</w:t>
      </w:r>
      <w:r w:rsidR="0048060E">
        <w:rPr>
          <w:szCs w:val="22"/>
        </w:rPr>
        <w:t>, aka thermostat,</w:t>
      </w:r>
      <w:r w:rsidR="005D01BF">
        <w:rPr>
          <w:szCs w:val="22"/>
        </w:rPr>
        <w:t xml:space="preserve"> </w:t>
      </w:r>
      <w:r>
        <w:rPr>
          <w:szCs w:val="22"/>
        </w:rPr>
        <w:t xml:space="preserve">that is mounted on the lamp housing. The switch is intended to cut the power going to the lamp power supply when </w:t>
      </w:r>
      <w:r w:rsidR="005D01BF">
        <w:rPr>
          <w:szCs w:val="22"/>
        </w:rPr>
        <w:t xml:space="preserve">an </w:t>
      </w:r>
      <w:r>
        <w:rPr>
          <w:szCs w:val="22"/>
        </w:rPr>
        <w:t>abnormal lamp housing temperature reach</w:t>
      </w:r>
      <w:r w:rsidR="005D01BF">
        <w:rPr>
          <w:szCs w:val="22"/>
        </w:rPr>
        <w:t>es</w:t>
      </w:r>
      <w:r>
        <w:rPr>
          <w:szCs w:val="22"/>
        </w:rPr>
        <w:t xml:space="preserve"> 70</w:t>
      </w:r>
      <w:r w:rsidR="005D01BF">
        <w:rPr>
          <w:rFonts w:ascii="Arial" w:hAnsi="Arial" w:cs="Arial"/>
          <w:szCs w:val="22"/>
        </w:rPr>
        <w:t>°</w:t>
      </w:r>
      <w:r w:rsidR="005D01BF">
        <w:rPr>
          <w:szCs w:val="22"/>
        </w:rPr>
        <w:t>C. The OTS also known as thermostat is used in our detectors as a safety switch that shuts the lamp off when overheating is detected preventing more severe damage to other components due to excessive heating.</w:t>
      </w:r>
    </w:p>
    <w:p w:rsidR="00413A89" w:rsidRDefault="005D01BF" w:rsidP="00AA4E00">
      <w:pPr>
        <w:rPr>
          <w:szCs w:val="22"/>
        </w:rPr>
      </w:pPr>
      <w:r>
        <w:rPr>
          <w:szCs w:val="22"/>
        </w:rPr>
        <w:t>In the newly introduced 2489 TUV and 2998 PDA Refresh detectors, the OTS was changed to 80</w:t>
      </w:r>
      <w:r>
        <w:rPr>
          <w:rFonts w:ascii="Arial" w:hAnsi="Arial" w:cs="Arial"/>
          <w:szCs w:val="22"/>
        </w:rPr>
        <w:t>°</w:t>
      </w:r>
      <w:r>
        <w:rPr>
          <w:szCs w:val="22"/>
        </w:rPr>
        <w:t>C to improve performance. At the time, the new proposed switch had very long lead time, therefore, an 80</w:t>
      </w:r>
      <w:r>
        <w:rPr>
          <w:rFonts w:ascii="Arial" w:hAnsi="Arial" w:cs="Arial"/>
          <w:szCs w:val="22"/>
        </w:rPr>
        <w:t>°</w:t>
      </w:r>
      <w:r>
        <w:rPr>
          <w:szCs w:val="22"/>
        </w:rPr>
        <w:t xml:space="preserve">C OTS </w:t>
      </w:r>
      <w:r w:rsidR="003B44DA">
        <w:rPr>
          <w:szCs w:val="22"/>
        </w:rPr>
        <w:t xml:space="preserve">(Waters P/N 353000103) </w:t>
      </w:r>
      <w:r>
        <w:rPr>
          <w:szCs w:val="22"/>
        </w:rPr>
        <w:t>that is currently used in the Column Heaters was chosen since it was readily available.</w:t>
      </w:r>
    </w:p>
    <w:p w:rsidR="008B4A99" w:rsidRDefault="008B4A99" w:rsidP="00AA4E00">
      <w:pPr>
        <w:rPr>
          <w:szCs w:val="22"/>
        </w:rPr>
      </w:pPr>
    </w:p>
    <w:p w:rsidR="008B4A99" w:rsidRDefault="00E31834" w:rsidP="008B4A99">
      <w:pPr>
        <w:keepNext/>
        <w:jc w:val="center"/>
      </w:pPr>
      <w:r>
        <w:rPr>
          <w:noProof/>
          <w:lang w:val="en-SG" w:eastAsia="zh-CN"/>
        </w:rPr>
        <w:lastRenderedPageBreak/>
        <mc:AlternateContent>
          <mc:Choice Requires="wps">
            <w:drawing>
              <wp:anchor distT="0" distB="0" distL="114300" distR="114300" simplePos="0" relativeHeight="251661824" behindDoc="0" locked="0" layoutInCell="1" allowOverlap="1">
                <wp:simplePos x="0" y="0"/>
                <wp:positionH relativeFrom="column">
                  <wp:posOffset>4779010</wp:posOffset>
                </wp:positionH>
                <wp:positionV relativeFrom="paragraph">
                  <wp:posOffset>1499870</wp:posOffset>
                </wp:positionV>
                <wp:extent cx="1042670" cy="607060"/>
                <wp:effectExtent l="0" t="0" r="0" b="0"/>
                <wp:wrapNone/>
                <wp:docPr id="6"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2670" cy="607060"/>
                        </a:xfrm>
                        <a:prstGeom prst="wedgeRoundRectCallout">
                          <a:avLst>
                            <a:gd name="adj1" fmla="val -72352"/>
                            <a:gd name="adj2" fmla="val 74477"/>
                            <a:gd name="adj3" fmla="val 16667"/>
                          </a:avLst>
                        </a:prstGeom>
                        <a:solidFill>
                          <a:srgbClr val="FFFFFF"/>
                        </a:solidFill>
                        <a:ln w="9525">
                          <a:solidFill>
                            <a:srgbClr val="000000"/>
                          </a:solidFill>
                          <a:miter lim="800000"/>
                          <a:headEnd/>
                          <a:tailEnd/>
                        </a:ln>
                      </wps:spPr>
                      <wps:txbx>
                        <w:txbxContent>
                          <w:p w:rsidR="00F701AF" w:rsidRDefault="00F701AF" w:rsidP="00F701AF">
                            <w:pPr>
                              <w:jc w:val="center"/>
                            </w:pPr>
                            <w:r>
                              <w:t>Thermostat (or OTS)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52" o:spid="_x0000_s1026" type="#_x0000_t62" style="position:absolute;left:0;text-align:left;margin-left:376.3pt;margin-top:118.1pt;width:82.1pt;height:47.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" adj="-4828,26887">
                <v:textbox>
                  <w:txbxContent>
                    <w:p w:rsidR="00F701AF" w:rsidRDefault="00F701AF" w:rsidP="00F701AF">
                      <w:pPr>
                        <w:jc w:val="center"/>
                      </w:pPr>
                      <w:r>
                        <w:t>Thermostat (or OTS)</w:t>
                      </w:r>
                    </w:p>
                  </w:txbxContent>
                </v:textbox>
              </v:shape>
            </w:pict>
          </mc:Fallback>
        </mc:AlternateContent>
      </w:r>
      <w:r w:rsidR="008B4A99">
        <w:object w:dxaOrig="6100" w:dyaOrig="74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9.75pt;height:341.25pt" o:ole="">
            <v:imagedata r:id="rId9" o:title=""/>
          </v:shape>
          <o:OLEObject Type="Embed" ProgID="Visio.Drawing.11" ShapeID="_x0000_i1025" DrawAspect="Content" ObjectID="_1602052235" r:id="rId10"/>
        </w:object>
      </w:r>
    </w:p>
    <w:p w:rsidR="008B4A99" w:rsidRDefault="008B4A99" w:rsidP="008B4A99">
      <w:pPr>
        <w:pStyle w:val="Caption"/>
        <w:rPr>
          <w:szCs w:val="22"/>
        </w:rPr>
      </w:pPr>
      <w:bookmarkStart w:id="3" w:name="_Ref355790917"/>
      <w:r>
        <w:t xml:space="preserve">Figure </w:t>
      </w:r>
      <w:r w:rsidR="00E5676F">
        <w:fldChar w:fldCharType="begin"/>
      </w:r>
      <w:r w:rsidR="00E5676F">
        <w:instrText xml:space="preserve"> SEQ Figure \* ARABIC </w:instrText>
      </w:r>
      <w:r w:rsidR="00E5676F">
        <w:fldChar w:fldCharType="separate"/>
      </w:r>
      <w:r w:rsidR="00A70300">
        <w:rPr>
          <w:noProof/>
        </w:rPr>
        <w:t>1</w:t>
      </w:r>
      <w:r w:rsidR="00E5676F">
        <w:rPr>
          <w:noProof/>
        </w:rPr>
        <w:fldChar w:fldCharType="end"/>
      </w:r>
      <w:bookmarkEnd w:id="3"/>
      <w:r>
        <w:t>- Illustration of how the thermal switch is used in the instrument</w:t>
      </w:r>
    </w:p>
    <w:p w:rsidR="0048060E" w:rsidRDefault="0048060E" w:rsidP="00AA4E00">
      <w:pPr>
        <w:rPr>
          <w:szCs w:val="22"/>
        </w:rPr>
      </w:pPr>
    </w:p>
    <w:p w:rsidR="008B4A99" w:rsidRDefault="008B4A99" w:rsidP="00AA4E00">
      <w:pPr>
        <w:rPr>
          <w:szCs w:val="22"/>
        </w:rPr>
      </w:pPr>
      <w:r>
        <w:rPr>
          <w:szCs w:val="22"/>
        </w:rPr>
        <w:t xml:space="preserve">The drawing shown in </w:t>
      </w:r>
      <w:r>
        <w:rPr>
          <w:szCs w:val="22"/>
        </w:rPr>
        <w:fldChar w:fldCharType="begin"/>
      </w:r>
      <w:r>
        <w:rPr>
          <w:szCs w:val="22"/>
        </w:rPr>
        <w:instrText xml:space="preserve"> REF _Ref355790917 \h </w:instrText>
      </w:r>
      <w:r>
        <w:rPr>
          <w:szCs w:val="22"/>
        </w:rPr>
      </w:r>
      <w:r>
        <w:rPr>
          <w:szCs w:val="22"/>
        </w:rPr>
        <w:fldChar w:fldCharType="separate"/>
      </w:r>
      <w:r w:rsidR="00A70300">
        <w:t xml:space="preserve">Figure </w:t>
      </w:r>
      <w:r w:rsidR="00A70300">
        <w:rPr>
          <w:noProof/>
        </w:rPr>
        <w:t>1</w:t>
      </w:r>
      <w:r>
        <w:rPr>
          <w:szCs w:val="22"/>
        </w:rPr>
        <w:fldChar w:fldCharType="end"/>
      </w:r>
      <w:r>
        <w:rPr>
          <w:szCs w:val="22"/>
        </w:rPr>
        <w:t xml:space="preserve"> illustrates how the Over Temperature Switch is connected in line with the power feeding the lamp power supply. In case of a failure (switch open), the power is cut off to the lamp power supply, shutting off the lamp, which is the major source of heat in the instrument.</w:t>
      </w:r>
    </w:p>
    <w:p w:rsidR="00626161" w:rsidRDefault="00626161" w:rsidP="00AA4E00">
      <w:pPr>
        <w:rPr>
          <w:szCs w:val="22"/>
        </w:rPr>
      </w:pPr>
    </w:p>
    <w:p w:rsidR="003B44DA" w:rsidRDefault="003B44DA" w:rsidP="00AA4E00">
      <w:pPr>
        <w:rPr>
          <w:szCs w:val="22"/>
        </w:rPr>
      </w:pPr>
      <w:r>
        <w:rPr>
          <w:szCs w:val="22"/>
        </w:rPr>
        <w:t>Here are the major differences between the current OTS (P/N 353000103) and the proposed OTS (P/N 352000115):</w:t>
      </w:r>
    </w:p>
    <w:p w:rsidR="003B44DA" w:rsidRDefault="003B44DA" w:rsidP="00AA4E00">
      <w:pPr>
        <w:rPr>
          <w:szCs w:val="22"/>
        </w:rPr>
      </w:pPr>
    </w:p>
    <w:p w:rsidR="003B44DA" w:rsidRPr="003B44DA" w:rsidRDefault="003B44DA" w:rsidP="003B44DA">
      <w:pPr>
        <w:rPr>
          <w:szCs w:val="22"/>
        </w:rPr>
      </w:pPr>
      <w:r w:rsidRPr="003B44DA">
        <w:rPr>
          <w:szCs w:val="22"/>
        </w:rPr>
        <w:t xml:space="preserve">1- The current switch </w:t>
      </w:r>
      <w:r>
        <w:rPr>
          <w:szCs w:val="22"/>
        </w:rPr>
        <w:t xml:space="preserve">(P/N 351000103) </w:t>
      </w:r>
      <w:r w:rsidRPr="003B44DA">
        <w:rPr>
          <w:szCs w:val="22"/>
        </w:rPr>
        <w:t xml:space="preserve">is hermitically sealed while the new switch </w:t>
      </w:r>
      <w:r>
        <w:rPr>
          <w:szCs w:val="22"/>
        </w:rPr>
        <w:t xml:space="preserve">(P/N 352000115) </w:t>
      </w:r>
      <w:r w:rsidRPr="003B44DA">
        <w:rPr>
          <w:szCs w:val="22"/>
        </w:rPr>
        <w:t xml:space="preserve">is not. However, </w:t>
      </w:r>
      <w:r>
        <w:rPr>
          <w:szCs w:val="22"/>
        </w:rPr>
        <w:t xml:space="preserve">older models of the TUV and PDA detectors </w:t>
      </w:r>
      <w:r w:rsidRPr="003B44DA">
        <w:rPr>
          <w:szCs w:val="22"/>
        </w:rPr>
        <w:t xml:space="preserve">have been using </w:t>
      </w:r>
      <w:r>
        <w:rPr>
          <w:szCs w:val="22"/>
        </w:rPr>
        <w:t>non-hermitically sealed switch</w:t>
      </w:r>
      <w:r w:rsidRPr="003B44DA">
        <w:rPr>
          <w:szCs w:val="22"/>
        </w:rPr>
        <w:t>, similar t</w:t>
      </w:r>
      <w:r>
        <w:rPr>
          <w:szCs w:val="22"/>
        </w:rPr>
        <w:t>o the proposed switch, for the p</w:t>
      </w:r>
      <w:r w:rsidRPr="003B44DA">
        <w:rPr>
          <w:szCs w:val="22"/>
        </w:rPr>
        <w:t>ast 15 years.</w:t>
      </w:r>
    </w:p>
    <w:p w:rsidR="003B44DA" w:rsidRDefault="003B44DA" w:rsidP="003B44DA">
      <w:pPr>
        <w:rPr>
          <w:szCs w:val="22"/>
        </w:rPr>
      </w:pPr>
      <w:r>
        <w:rPr>
          <w:szCs w:val="22"/>
        </w:rPr>
        <w:t>2- T</w:t>
      </w:r>
      <w:r w:rsidRPr="003B44DA">
        <w:rPr>
          <w:szCs w:val="22"/>
        </w:rPr>
        <w:t>he new switch (P/N 352000115) has a re-close rating at about 71</w:t>
      </w:r>
      <w:r>
        <w:rPr>
          <w:rFonts w:ascii="Arial" w:hAnsi="Arial" w:cs="Arial"/>
          <w:szCs w:val="22"/>
        </w:rPr>
        <w:t>°</w:t>
      </w:r>
      <w:r w:rsidRPr="003B44DA">
        <w:rPr>
          <w:szCs w:val="22"/>
        </w:rPr>
        <w:t>C while the current Over Temperature Switch</w:t>
      </w:r>
      <w:r>
        <w:rPr>
          <w:szCs w:val="22"/>
        </w:rPr>
        <w:t xml:space="preserve"> (P/N 351000103)</w:t>
      </w:r>
      <w:r w:rsidRPr="003B44DA">
        <w:rPr>
          <w:szCs w:val="22"/>
        </w:rPr>
        <w:t xml:space="preserve"> has a re-close rating of 60C. </w:t>
      </w:r>
      <w:r>
        <w:rPr>
          <w:szCs w:val="22"/>
        </w:rPr>
        <w:t>T</w:t>
      </w:r>
      <w:r w:rsidRPr="003B44DA">
        <w:rPr>
          <w:szCs w:val="22"/>
        </w:rPr>
        <w:t xml:space="preserve">hat should not </w:t>
      </w:r>
      <w:r>
        <w:rPr>
          <w:szCs w:val="22"/>
        </w:rPr>
        <w:t xml:space="preserve">pose </w:t>
      </w:r>
      <w:r w:rsidRPr="003B44DA">
        <w:rPr>
          <w:szCs w:val="22"/>
        </w:rPr>
        <w:t>a problem</w:t>
      </w:r>
      <w:r>
        <w:rPr>
          <w:szCs w:val="22"/>
        </w:rPr>
        <w:t xml:space="preserve"> in the design</w:t>
      </w:r>
      <w:r w:rsidRPr="003B44DA">
        <w:rPr>
          <w:szCs w:val="22"/>
        </w:rPr>
        <w:t xml:space="preserve"> since the switch is used </w:t>
      </w:r>
      <w:r>
        <w:rPr>
          <w:szCs w:val="22"/>
        </w:rPr>
        <w:t>as safety switch on the upper limit</w:t>
      </w:r>
      <w:r w:rsidRPr="003B44DA">
        <w:rPr>
          <w:szCs w:val="22"/>
        </w:rPr>
        <w:t>.</w:t>
      </w:r>
      <w:r>
        <w:rPr>
          <w:szCs w:val="22"/>
        </w:rPr>
        <w:t xml:space="preserve"> When the OTS opens, that indicates that you have a major problem and the instrument would have to be fixed. Therefore rating of the OTS reclosing is not </w:t>
      </w:r>
      <w:r w:rsidR="00626161">
        <w:rPr>
          <w:szCs w:val="22"/>
        </w:rPr>
        <w:t>very important.</w:t>
      </w:r>
      <w:r>
        <w:rPr>
          <w:szCs w:val="22"/>
        </w:rPr>
        <w:t xml:space="preserve"> </w:t>
      </w:r>
    </w:p>
    <w:p w:rsidR="00002C58" w:rsidRDefault="00002C58" w:rsidP="003B44DA">
      <w:pPr>
        <w:rPr>
          <w:szCs w:val="22"/>
        </w:rPr>
      </w:pPr>
    </w:p>
    <w:p w:rsidR="00002C58" w:rsidRDefault="00002C58" w:rsidP="003B44DA">
      <w:pPr>
        <w:rPr>
          <w:szCs w:val="22"/>
        </w:rPr>
      </w:pPr>
      <w:r>
        <w:rPr>
          <w:szCs w:val="22"/>
        </w:rPr>
        <w:t xml:space="preserve">In this design, the OTS is connected in line with the 24VDC power line feeding the lamp power supply. The lamp power supply is rated for 24V at 3A and the </w:t>
      </w:r>
      <w:r w:rsidR="00E86221">
        <w:rPr>
          <w:szCs w:val="22"/>
        </w:rPr>
        <w:t xml:space="preserve">new Sensata </w:t>
      </w:r>
      <w:r>
        <w:rPr>
          <w:szCs w:val="22"/>
        </w:rPr>
        <w:t>OTS has UL approvals for 3A</w:t>
      </w:r>
      <w:r w:rsidR="00E86221">
        <w:rPr>
          <w:szCs w:val="22"/>
        </w:rPr>
        <w:t xml:space="preserve"> @ 24VDC</w:t>
      </w:r>
      <w:r>
        <w:rPr>
          <w:szCs w:val="22"/>
        </w:rPr>
        <w:t xml:space="preserve"> </w:t>
      </w:r>
      <w:r w:rsidR="00E86221">
        <w:rPr>
          <w:szCs w:val="22"/>
        </w:rPr>
        <w:t>and 100,000 cycles.</w:t>
      </w:r>
    </w:p>
    <w:p w:rsidR="00F172A6" w:rsidRPr="0067291B" w:rsidRDefault="00F172A6" w:rsidP="0061180B">
      <w:pPr>
        <w:pStyle w:val="Heading1"/>
        <w:numPr>
          <w:ilvl w:val="0"/>
          <w:numId w:val="2"/>
        </w:numPr>
      </w:pPr>
      <w:bookmarkStart w:id="4" w:name="_Toc387306692"/>
      <w:r>
        <w:lastRenderedPageBreak/>
        <w:t xml:space="preserve">Summary </w:t>
      </w:r>
      <w:r w:rsidRPr="00DD6D2E">
        <w:t>and</w:t>
      </w:r>
      <w:r>
        <w:t xml:space="preserve"> Recommenda</w:t>
      </w:r>
      <w:r w:rsidRPr="00605850">
        <w:t>tions</w:t>
      </w:r>
      <w:bookmarkEnd w:id="4"/>
    </w:p>
    <w:p w:rsidR="0089361D" w:rsidRDefault="001F0324" w:rsidP="00AA4E00">
      <w:pPr>
        <w:rPr>
          <w:szCs w:val="22"/>
        </w:rPr>
      </w:pPr>
      <w:bookmarkStart w:id="5" w:name="_Toc304463189"/>
      <w:r>
        <w:rPr>
          <w:szCs w:val="22"/>
        </w:rPr>
        <w:t xml:space="preserve">The test conducted in this evaluation shows that the </w:t>
      </w:r>
      <w:r w:rsidR="00002C58">
        <w:rPr>
          <w:szCs w:val="22"/>
        </w:rPr>
        <w:t>new proposed OTS opened when the tempera</w:t>
      </w:r>
      <w:r w:rsidR="00E86221">
        <w:rPr>
          <w:szCs w:val="22"/>
        </w:rPr>
        <w:t>ture reached an average of 81.5</w:t>
      </w:r>
      <w:r w:rsidR="00E86221">
        <w:rPr>
          <w:rFonts w:ascii="Arial" w:hAnsi="Arial" w:cs="Arial"/>
          <w:szCs w:val="22"/>
        </w:rPr>
        <w:t>°</w:t>
      </w:r>
      <w:r w:rsidR="00E86221">
        <w:rPr>
          <w:szCs w:val="22"/>
        </w:rPr>
        <w:t>C</w:t>
      </w:r>
      <w:r w:rsidR="0089361D">
        <w:rPr>
          <w:szCs w:val="22"/>
        </w:rPr>
        <w:t>,</w:t>
      </w:r>
      <w:r w:rsidR="00E86221">
        <w:rPr>
          <w:szCs w:val="22"/>
        </w:rPr>
        <w:t xml:space="preserve"> which is </w:t>
      </w:r>
      <w:r w:rsidR="00946802">
        <w:rPr>
          <w:szCs w:val="22"/>
        </w:rPr>
        <w:t xml:space="preserve">with the </w:t>
      </w:r>
      <w:r w:rsidR="00E86221">
        <w:rPr>
          <w:szCs w:val="22"/>
        </w:rPr>
        <w:t>acceptable</w:t>
      </w:r>
      <w:r w:rsidR="00946802">
        <w:rPr>
          <w:szCs w:val="22"/>
        </w:rPr>
        <w:t xml:space="preserve"> range</w:t>
      </w:r>
      <w:r w:rsidR="00E86221">
        <w:rPr>
          <w:szCs w:val="22"/>
        </w:rPr>
        <w:t xml:space="preserve">. </w:t>
      </w:r>
      <w:r w:rsidR="0089361D">
        <w:rPr>
          <w:szCs w:val="22"/>
        </w:rPr>
        <w:t>The new proposed switch was pr</w:t>
      </w:r>
      <w:r w:rsidR="00946802">
        <w:rPr>
          <w:szCs w:val="22"/>
        </w:rPr>
        <w:t>esented to the Reliability and R</w:t>
      </w:r>
      <w:r w:rsidR="0089361D">
        <w:rPr>
          <w:szCs w:val="22"/>
        </w:rPr>
        <w:t xml:space="preserve">egulatory groups </w:t>
      </w:r>
      <w:r w:rsidR="00946802">
        <w:rPr>
          <w:szCs w:val="22"/>
        </w:rPr>
        <w:t xml:space="preserve">for review </w:t>
      </w:r>
      <w:r w:rsidR="0089361D">
        <w:rPr>
          <w:szCs w:val="22"/>
        </w:rPr>
        <w:t xml:space="preserve">to ensure that the new switch meets all the regulatory and reliability requirements. </w:t>
      </w:r>
    </w:p>
    <w:p w:rsidR="0089361D" w:rsidRDefault="0089361D" w:rsidP="00AA4E00">
      <w:pPr>
        <w:rPr>
          <w:szCs w:val="22"/>
        </w:rPr>
      </w:pPr>
      <w:r>
        <w:rPr>
          <w:szCs w:val="22"/>
        </w:rPr>
        <w:t>Based on the testing, the new Sensata should be used as a cheaper alternative to the current Over Temperature Switch. The cost savings is significant and the risk is low since similar switch has been used in the detectors for many years.</w:t>
      </w:r>
    </w:p>
    <w:p w:rsidR="0089361D" w:rsidRDefault="0089361D" w:rsidP="00AA4E00">
      <w:pPr>
        <w:rPr>
          <w:szCs w:val="22"/>
        </w:rPr>
      </w:pPr>
    </w:p>
    <w:p w:rsidR="0061571B" w:rsidRDefault="0089361D" w:rsidP="00AA4E00">
      <w:pPr>
        <w:rPr>
          <w:szCs w:val="22"/>
        </w:rPr>
      </w:pPr>
      <w:r>
        <w:rPr>
          <w:szCs w:val="22"/>
        </w:rPr>
        <w:t xml:space="preserve">Instead of having the OTS soldered to the wires as part of the cable assembly, the new proposed solution is to separate the cable and the OTS. A cable is designed to have a quick disconnect terminals without having the OTS as part of the assembly. This approach has a good cost saving advantage as well, since the switch is not procured and marked up by the cable assembly manufacturer, rather, the switch </w:t>
      </w:r>
      <w:r w:rsidR="00946802">
        <w:rPr>
          <w:szCs w:val="22"/>
        </w:rPr>
        <w:t>is</w:t>
      </w:r>
      <w:r>
        <w:rPr>
          <w:szCs w:val="22"/>
        </w:rPr>
        <w:t xml:space="preserve"> procured </w:t>
      </w:r>
      <w:r w:rsidR="00946802">
        <w:rPr>
          <w:szCs w:val="22"/>
        </w:rPr>
        <w:t>directly by Waters or Contract Manufacturer</w:t>
      </w:r>
      <w:r>
        <w:rPr>
          <w:szCs w:val="22"/>
        </w:rPr>
        <w:t>.</w:t>
      </w:r>
    </w:p>
    <w:p w:rsidR="00946802" w:rsidRDefault="00946802" w:rsidP="00AA4E00">
      <w:pPr>
        <w:rPr>
          <w:szCs w:val="22"/>
        </w:rPr>
      </w:pPr>
      <w:r>
        <w:rPr>
          <w:szCs w:val="22"/>
        </w:rPr>
        <w:t xml:space="preserve">Since the OTS is listed in the Regulatory Safety Report as a safety component, the reports need to be updated to include the new Sensata Switch, which is estimated to be about $2700 for each report. </w:t>
      </w:r>
    </w:p>
    <w:p w:rsidR="0048060E" w:rsidRDefault="0048060E" w:rsidP="00AA4E00">
      <w:pPr>
        <w:rPr>
          <w:szCs w:val="22"/>
        </w:rPr>
      </w:pPr>
    </w:p>
    <w:p w:rsidR="0048060E" w:rsidRDefault="0048060E" w:rsidP="00AA4E00">
      <w:pPr>
        <w:rPr>
          <w:szCs w:val="22"/>
        </w:rPr>
      </w:pPr>
      <w:r>
        <w:rPr>
          <w:szCs w:val="22"/>
        </w:rPr>
        <w:t xml:space="preserve">The reevaluation of the new OTS samples using beryllium copper C17510 </w:t>
      </w:r>
      <w:r w:rsidR="00DF6BBC">
        <w:rPr>
          <w:szCs w:val="22"/>
        </w:rPr>
        <w:t xml:space="preserve">and C17510 </w:t>
      </w:r>
      <w:r>
        <w:rPr>
          <w:szCs w:val="22"/>
        </w:rPr>
        <w:t xml:space="preserve">spring contact arm shows that they </w:t>
      </w:r>
      <w:r w:rsidR="00DF6BBC">
        <w:rPr>
          <w:szCs w:val="22"/>
        </w:rPr>
        <w:t>are a viable replacements for the Selco OTS.</w:t>
      </w:r>
    </w:p>
    <w:p w:rsidR="00F172A6" w:rsidRPr="0067291B" w:rsidRDefault="00F172A6" w:rsidP="0061180B">
      <w:pPr>
        <w:pStyle w:val="Heading1"/>
        <w:numPr>
          <w:ilvl w:val="0"/>
          <w:numId w:val="2"/>
        </w:numPr>
      </w:pPr>
      <w:bookmarkStart w:id="6" w:name="_Toc387306693"/>
      <w:r>
        <w:t>Conclusions</w:t>
      </w:r>
      <w:bookmarkEnd w:id="5"/>
      <w:bookmarkEnd w:id="6"/>
    </w:p>
    <w:p w:rsidR="00AA4E00" w:rsidRDefault="0061571B" w:rsidP="00AA4E00">
      <w:pPr>
        <w:rPr>
          <w:szCs w:val="22"/>
        </w:rPr>
      </w:pPr>
      <w:bookmarkStart w:id="7" w:name="_Toc304463190"/>
      <w:r>
        <w:rPr>
          <w:szCs w:val="22"/>
        </w:rPr>
        <w:t xml:space="preserve">The new proposed </w:t>
      </w:r>
      <w:r w:rsidR="00FC0EFB">
        <w:rPr>
          <w:szCs w:val="22"/>
        </w:rPr>
        <w:t>Over Temperature Switch from Sensata should be used as a replacement for the more expensive switch from SELCO. The risk should be low considering that similar switch</w:t>
      </w:r>
      <w:r w:rsidR="00C8025C">
        <w:rPr>
          <w:szCs w:val="22"/>
        </w:rPr>
        <w:t xml:space="preserve"> of the same model</w:t>
      </w:r>
      <w:r w:rsidR="00FC0EFB">
        <w:rPr>
          <w:szCs w:val="22"/>
        </w:rPr>
        <w:t xml:space="preserve"> </w:t>
      </w:r>
      <w:r w:rsidR="00C8025C">
        <w:rPr>
          <w:szCs w:val="22"/>
        </w:rPr>
        <w:t>(70</w:t>
      </w:r>
      <w:r w:rsidR="00C8025C">
        <w:rPr>
          <w:rFonts w:ascii="Arial" w:hAnsi="Arial" w:cs="Arial"/>
          <w:szCs w:val="22"/>
        </w:rPr>
        <w:t>°</w:t>
      </w:r>
      <w:r w:rsidR="00C8025C">
        <w:rPr>
          <w:szCs w:val="22"/>
        </w:rPr>
        <w:t>C set temperature) from</w:t>
      </w:r>
      <w:r w:rsidR="00FC0EFB">
        <w:rPr>
          <w:szCs w:val="22"/>
        </w:rPr>
        <w:t xml:space="preserve"> Sensata’s has been used for many years in previous models of the TUV and the PDA detectors.</w:t>
      </w:r>
    </w:p>
    <w:p w:rsidR="00497954" w:rsidRDefault="00497954" w:rsidP="00AA4E00">
      <w:pPr>
        <w:rPr>
          <w:szCs w:val="22"/>
        </w:rPr>
      </w:pPr>
      <w:r>
        <w:rPr>
          <w:szCs w:val="22"/>
        </w:rPr>
        <w:t>The second evaluation shows that both types of Sensata thermostats using beryllium copper C17500 and C17510 spring contact arms are viable replacements.</w:t>
      </w:r>
    </w:p>
    <w:p w:rsidR="00F172A6" w:rsidRPr="0067291B" w:rsidRDefault="00F172A6" w:rsidP="0061180B">
      <w:pPr>
        <w:pStyle w:val="Heading1"/>
        <w:numPr>
          <w:ilvl w:val="0"/>
          <w:numId w:val="2"/>
        </w:numPr>
      </w:pPr>
      <w:bookmarkStart w:id="8" w:name="_Toc387306694"/>
      <w:r w:rsidRPr="00DD6D2E">
        <w:t>References</w:t>
      </w:r>
      <w:bookmarkEnd w:id="7"/>
      <w:bookmarkEnd w:id="8"/>
    </w:p>
    <w:p w:rsidR="00002C58" w:rsidRDefault="00002C58" w:rsidP="0061180B">
      <w:pPr>
        <w:pStyle w:val="ListParagraph"/>
        <w:numPr>
          <w:ilvl w:val="0"/>
          <w:numId w:val="1"/>
        </w:numPr>
        <w:rPr>
          <w:szCs w:val="22"/>
        </w:rPr>
      </w:pPr>
      <w:bookmarkStart w:id="9" w:name="_Toc304463191"/>
      <w:r>
        <w:rPr>
          <w:szCs w:val="22"/>
        </w:rPr>
        <w:t>SENSATA AIRPAX 5003 Series datasheet</w:t>
      </w:r>
    </w:p>
    <w:p w:rsidR="00AF4A5F" w:rsidRDefault="00AF4A5F" w:rsidP="0061180B">
      <w:pPr>
        <w:pStyle w:val="ListParagraph"/>
        <w:numPr>
          <w:ilvl w:val="0"/>
          <w:numId w:val="1"/>
        </w:numPr>
        <w:rPr>
          <w:szCs w:val="22"/>
        </w:rPr>
      </w:pPr>
      <w:r>
        <w:rPr>
          <w:szCs w:val="22"/>
        </w:rPr>
        <w:t>SELCO Thermostats datasheet</w:t>
      </w:r>
    </w:p>
    <w:p w:rsidR="00AF4A5F" w:rsidRDefault="00AF4A5F" w:rsidP="0061180B">
      <w:pPr>
        <w:pStyle w:val="ListParagraph"/>
        <w:numPr>
          <w:ilvl w:val="0"/>
          <w:numId w:val="1"/>
        </w:numPr>
        <w:rPr>
          <w:szCs w:val="22"/>
        </w:rPr>
      </w:pPr>
      <w:r>
        <w:rPr>
          <w:szCs w:val="22"/>
        </w:rPr>
        <w:t>Cable P/N 441001398</w:t>
      </w:r>
    </w:p>
    <w:p w:rsidR="00E76DC7" w:rsidRDefault="00E76DC7" w:rsidP="0061180B">
      <w:pPr>
        <w:pStyle w:val="ListParagraph"/>
        <w:numPr>
          <w:ilvl w:val="0"/>
          <w:numId w:val="1"/>
        </w:numPr>
        <w:rPr>
          <w:szCs w:val="22"/>
        </w:rPr>
      </w:pPr>
      <w:r>
        <w:rPr>
          <w:szCs w:val="22"/>
        </w:rPr>
        <w:t>Cable PN 441001xxx</w:t>
      </w:r>
    </w:p>
    <w:p w:rsidR="00AF4A5F" w:rsidRDefault="00AF4A5F" w:rsidP="0061180B">
      <w:pPr>
        <w:pStyle w:val="ListParagraph"/>
        <w:numPr>
          <w:ilvl w:val="0"/>
          <w:numId w:val="1"/>
        </w:numPr>
        <w:rPr>
          <w:szCs w:val="22"/>
        </w:rPr>
      </w:pPr>
      <w:r>
        <w:rPr>
          <w:szCs w:val="22"/>
        </w:rPr>
        <w:t xml:space="preserve">Thermostat P/N 351000103, </w:t>
      </w:r>
      <w:r w:rsidRPr="00AF4A5F">
        <w:rPr>
          <w:szCs w:val="22"/>
        </w:rPr>
        <w:t>SELCO P/N KO-176ST</w:t>
      </w:r>
    </w:p>
    <w:p w:rsidR="00AF4A5F" w:rsidRDefault="00AF4A5F" w:rsidP="0061180B">
      <w:pPr>
        <w:pStyle w:val="ListParagraph"/>
        <w:numPr>
          <w:ilvl w:val="0"/>
          <w:numId w:val="1"/>
        </w:numPr>
        <w:rPr>
          <w:szCs w:val="22"/>
        </w:rPr>
      </w:pPr>
      <w:r>
        <w:rPr>
          <w:szCs w:val="22"/>
        </w:rPr>
        <w:t xml:space="preserve">Thermostat P/N 352000115, </w:t>
      </w:r>
      <w:r w:rsidRPr="00AF4A5F">
        <w:rPr>
          <w:szCs w:val="22"/>
        </w:rPr>
        <w:t>SENSATA O53HCH175A-160A</w:t>
      </w:r>
    </w:p>
    <w:p w:rsidR="00AF4A5F" w:rsidRDefault="00AF4A5F" w:rsidP="0061180B">
      <w:pPr>
        <w:pStyle w:val="ListParagraph"/>
        <w:numPr>
          <w:ilvl w:val="0"/>
          <w:numId w:val="1"/>
        </w:numPr>
        <w:rPr>
          <w:szCs w:val="22"/>
        </w:rPr>
      </w:pPr>
      <w:r>
        <w:rPr>
          <w:szCs w:val="22"/>
        </w:rPr>
        <w:t>Hamamatsu Lamp Power Supply P/N 279001105</w:t>
      </w:r>
    </w:p>
    <w:p w:rsidR="00CF03C8" w:rsidRDefault="00734435" w:rsidP="0061180B">
      <w:pPr>
        <w:pStyle w:val="ListParagraph"/>
        <w:numPr>
          <w:ilvl w:val="0"/>
          <w:numId w:val="1"/>
        </w:numPr>
        <w:rPr>
          <w:szCs w:val="22"/>
        </w:rPr>
      </w:pPr>
      <w:r>
        <w:rPr>
          <w:szCs w:val="22"/>
        </w:rPr>
        <w:t>24</w:t>
      </w:r>
      <w:r w:rsidR="00AF4A5F">
        <w:rPr>
          <w:szCs w:val="22"/>
        </w:rPr>
        <w:t>89 TUV</w:t>
      </w:r>
      <w:r>
        <w:rPr>
          <w:szCs w:val="22"/>
        </w:rPr>
        <w:t xml:space="preserve"> Refresh Assembly </w:t>
      </w:r>
      <w:r w:rsidR="00CF03C8">
        <w:rPr>
          <w:szCs w:val="22"/>
        </w:rPr>
        <w:t xml:space="preserve">Procedure P/N </w:t>
      </w:r>
      <w:r>
        <w:rPr>
          <w:szCs w:val="22"/>
        </w:rPr>
        <w:t>2790027</w:t>
      </w:r>
      <w:r w:rsidR="00AF4A5F">
        <w:rPr>
          <w:szCs w:val="22"/>
        </w:rPr>
        <w:t>33</w:t>
      </w:r>
    </w:p>
    <w:p w:rsidR="006F08D0" w:rsidRPr="006F08D0" w:rsidRDefault="00AF4A5F" w:rsidP="0061180B">
      <w:pPr>
        <w:pStyle w:val="ListParagraph"/>
        <w:numPr>
          <w:ilvl w:val="0"/>
          <w:numId w:val="1"/>
        </w:numPr>
        <w:rPr>
          <w:szCs w:val="22"/>
        </w:rPr>
      </w:pPr>
      <w:r>
        <w:rPr>
          <w:szCs w:val="22"/>
        </w:rPr>
        <w:t>2998 PDA Refresh Assembly Procedure P/N 279002744</w:t>
      </w:r>
    </w:p>
    <w:p w:rsidR="00AA4E00" w:rsidRPr="00462D6F" w:rsidRDefault="00AA4E00" w:rsidP="0061180B">
      <w:pPr>
        <w:pStyle w:val="ListParagraph"/>
        <w:numPr>
          <w:ilvl w:val="0"/>
          <w:numId w:val="1"/>
        </w:numPr>
        <w:rPr>
          <w:szCs w:val="22"/>
        </w:rPr>
      </w:pPr>
      <w:r>
        <w:rPr>
          <w:szCs w:val="22"/>
        </w:rPr>
        <w:t>Calibration Database</w:t>
      </w:r>
    </w:p>
    <w:p w:rsidR="00F172A6" w:rsidRPr="0067291B" w:rsidRDefault="00F172A6" w:rsidP="0061180B">
      <w:pPr>
        <w:pStyle w:val="Heading1"/>
        <w:numPr>
          <w:ilvl w:val="0"/>
          <w:numId w:val="2"/>
        </w:numPr>
      </w:pPr>
      <w:bookmarkStart w:id="10" w:name="_Toc387306695"/>
      <w:r w:rsidRPr="00DD6D2E">
        <w:t>Definitions</w:t>
      </w:r>
      <w:bookmarkEnd w:id="9"/>
      <w:bookmarkEnd w:id="10"/>
    </w:p>
    <w:p w:rsidR="00734435" w:rsidRDefault="00645C06" w:rsidP="00734435">
      <w:pPr>
        <w:rPr>
          <w:szCs w:val="22"/>
        </w:rPr>
      </w:pPr>
      <w:r>
        <w:rPr>
          <w:szCs w:val="22"/>
        </w:rPr>
        <w:t>TUV</w:t>
      </w:r>
      <w:r w:rsidR="00734435">
        <w:rPr>
          <w:szCs w:val="22"/>
        </w:rPr>
        <w:t xml:space="preserve">: </w:t>
      </w:r>
      <w:r>
        <w:rPr>
          <w:szCs w:val="22"/>
        </w:rPr>
        <w:t>Tunable Ultra Violet</w:t>
      </w:r>
    </w:p>
    <w:p w:rsidR="00645C06" w:rsidRDefault="00645C06" w:rsidP="00734435">
      <w:pPr>
        <w:rPr>
          <w:szCs w:val="22"/>
        </w:rPr>
      </w:pPr>
      <w:r>
        <w:rPr>
          <w:szCs w:val="22"/>
        </w:rPr>
        <w:t>PDA: Photo Diode Array</w:t>
      </w:r>
    </w:p>
    <w:p w:rsidR="006472C6" w:rsidRDefault="006472C6" w:rsidP="00734435">
      <w:pPr>
        <w:rPr>
          <w:szCs w:val="22"/>
        </w:rPr>
      </w:pPr>
      <w:r>
        <w:rPr>
          <w:szCs w:val="22"/>
        </w:rPr>
        <w:t xml:space="preserve">BOM: Bill </w:t>
      </w:r>
      <w:r w:rsidR="00645C06">
        <w:rPr>
          <w:szCs w:val="22"/>
        </w:rPr>
        <w:t>of</w:t>
      </w:r>
      <w:r>
        <w:rPr>
          <w:szCs w:val="22"/>
        </w:rPr>
        <w:t xml:space="preserve"> Materials</w:t>
      </w:r>
    </w:p>
    <w:p w:rsidR="006F08D0" w:rsidRDefault="006F08D0" w:rsidP="00734435">
      <w:pPr>
        <w:rPr>
          <w:szCs w:val="22"/>
        </w:rPr>
      </w:pPr>
      <w:r>
        <w:rPr>
          <w:szCs w:val="22"/>
        </w:rPr>
        <w:t>OTS: Over Temperature Switch</w:t>
      </w:r>
    </w:p>
    <w:p w:rsidR="00BC65DD" w:rsidRDefault="00BC65DD" w:rsidP="00734435">
      <w:pPr>
        <w:rPr>
          <w:szCs w:val="22"/>
        </w:rPr>
      </w:pPr>
      <w:r>
        <w:rPr>
          <w:szCs w:val="22"/>
        </w:rPr>
        <w:t>LPS: Lamp Power Supply</w:t>
      </w:r>
    </w:p>
    <w:p w:rsidR="00F172A6" w:rsidRPr="0067291B" w:rsidRDefault="00F172A6" w:rsidP="0061180B">
      <w:pPr>
        <w:pStyle w:val="Heading1"/>
        <w:numPr>
          <w:ilvl w:val="0"/>
          <w:numId w:val="2"/>
        </w:numPr>
      </w:pPr>
      <w:bookmarkStart w:id="11" w:name="_Toc387306696"/>
      <w:r w:rsidRPr="00DD6D2E">
        <w:lastRenderedPageBreak/>
        <w:t>Device under Test or Analysis</w:t>
      </w:r>
      <w:bookmarkEnd w:id="11"/>
    </w:p>
    <w:p w:rsidR="00AA4E00" w:rsidRPr="00AA4E00" w:rsidRDefault="00AA4E00" w:rsidP="00AA4E00"/>
    <w:tbl>
      <w:tblPr>
        <w:tblW w:w="0" w:type="auto"/>
        <w:jc w:val="center"/>
        <w:tblInd w:w="36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20"/>
        <w:gridCol w:w="2880"/>
        <w:gridCol w:w="1800"/>
        <w:gridCol w:w="1711"/>
        <w:gridCol w:w="3015"/>
      </w:tblGrid>
      <w:tr w:rsidR="00F172A6" w:rsidRPr="00D33207" w:rsidTr="00E12D82">
        <w:trPr>
          <w:jc w:val="center"/>
        </w:trPr>
        <w:tc>
          <w:tcPr>
            <w:tcW w:w="10126" w:type="dxa"/>
            <w:gridSpan w:val="5"/>
            <w:shd w:val="clear" w:color="auto" w:fill="FFFFCC"/>
          </w:tcPr>
          <w:p w:rsidR="00F172A6" w:rsidRPr="00D33207" w:rsidRDefault="00CF03C8" w:rsidP="00C64E57">
            <w:pPr>
              <w:pStyle w:val="TableTitles"/>
            </w:pPr>
            <w:r>
              <w:t>Devices Under Test</w:t>
            </w:r>
          </w:p>
        </w:tc>
      </w:tr>
      <w:tr w:rsidR="00F172A6" w:rsidRPr="00D33207" w:rsidTr="00E12D82">
        <w:trPr>
          <w:jc w:val="center"/>
        </w:trPr>
        <w:tc>
          <w:tcPr>
            <w:tcW w:w="720" w:type="dxa"/>
            <w:vAlign w:val="center"/>
          </w:tcPr>
          <w:p w:rsidR="00F172A6" w:rsidRPr="00530DC2" w:rsidRDefault="00F172A6" w:rsidP="005F4C86">
            <w:pPr>
              <w:overflowPunct w:val="0"/>
              <w:autoSpaceDE w:val="0"/>
              <w:autoSpaceDN w:val="0"/>
              <w:adjustRightInd w:val="0"/>
              <w:jc w:val="center"/>
              <w:textAlignment w:val="baseline"/>
              <w:rPr>
                <w:rFonts w:ascii="Arial" w:hAnsi="Arial" w:cs="Arial"/>
                <w:sz w:val="20"/>
              </w:rPr>
            </w:pPr>
            <w:r w:rsidRPr="00530DC2">
              <w:rPr>
                <w:rFonts w:ascii="Arial" w:hAnsi="Arial" w:cs="Arial"/>
                <w:sz w:val="20"/>
              </w:rPr>
              <w:t>Qty</w:t>
            </w:r>
          </w:p>
        </w:tc>
        <w:tc>
          <w:tcPr>
            <w:tcW w:w="2880" w:type="dxa"/>
            <w:vAlign w:val="center"/>
          </w:tcPr>
          <w:p w:rsidR="00F172A6" w:rsidRPr="00530DC2" w:rsidRDefault="00F172A6" w:rsidP="005F4C86">
            <w:pPr>
              <w:overflowPunct w:val="0"/>
              <w:autoSpaceDE w:val="0"/>
              <w:autoSpaceDN w:val="0"/>
              <w:adjustRightInd w:val="0"/>
              <w:jc w:val="center"/>
              <w:textAlignment w:val="baseline"/>
              <w:rPr>
                <w:rFonts w:ascii="Arial" w:hAnsi="Arial" w:cs="Arial"/>
                <w:sz w:val="20"/>
              </w:rPr>
            </w:pPr>
            <w:r w:rsidRPr="00530DC2">
              <w:rPr>
                <w:rFonts w:ascii="Arial" w:hAnsi="Arial" w:cs="Arial"/>
                <w:sz w:val="20"/>
              </w:rPr>
              <w:t>Description</w:t>
            </w:r>
          </w:p>
        </w:tc>
        <w:tc>
          <w:tcPr>
            <w:tcW w:w="1800" w:type="dxa"/>
            <w:vAlign w:val="center"/>
          </w:tcPr>
          <w:p w:rsidR="00F172A6" w:rsidRPr="00530DC2" w:rsidRDefault="00F172A6" w:rsidP="005F4C86">
            <w:pPr>
              <w:overflowPunct w:val="0"/>
              <w:autoSpaceDE w:val="0"/>
              <w:autoSpaceDN w:val="0"/>
              <w:adjustRightInd w:val="0"/>
              <w:jc w:val="center"/>
              <w:textAlignment w:val="baseline"/>
              <w:rPr>
                <w:rFonts w:ascii="Arial" w:hAnsi="Arial" w:cs="Arial"/>
                <w:sz w:val="20"/>
              </w:rPr>
            </w:pPr>
            <w:r w:rsidRPr="00530DC2">
              <w:rPr>
                <w:rFonts w:ascii="Arial" w:hAnsi="Arial" w:cs="Arial"/>
                <w:sz w:val="20"/>
              </w:rPr>
              <w:t>Waters PN #</w:t>
            </w:r>
          </w:p>
        </w:tc>
        <w:tc>
          <w:tcPr>
            <w:tcW w:w="1711" w:type="dxa"/>
            <w:vAlign w:val="center"/>
          </w:tcPr>
          <w:p w:rsidR="00F172A6" w:rsidRPr="00530DC2" w:rsidRDefault="00F172A6" w:rsidP="005F4C86">
            <w:pPr>
              <w:overflowPunct w:val="0"/>
              <w:autoSpaceDE w:val="0"/>
              <w:autoSpaceDN w:val="0"/>
              <w:adjustRightInd w:val="0"/>
              <w:jc w:val="center"/>
              <w:textAlignment w:val="baseline"/>
              <w:rPr>
                <w:rFonts w:ascii="Arial" w:hAnsi="Arial" w:cs="Arial"/>
                <w:sz w:val="20"/>
              </w:rPr>
            </w:pPr>
            <w:r w:rsidRPr="00530DC2">
              <w:rPr>
                <w:rFonts w:ascii="Arial" w:hAnsi="Arial" w:cs="Arial"/>
                <w:sz w:val="20"/>
              </w:rPr>
              <w:t>Waters Revision</w:t>
            </w:r>
          </w:p>
        </w:tc>
        <w:tc>
          <w:tcPr>
            <w:tcW w:w="3015" w:type="dxa"/>
            <w:vAlign w:val="center"/>
          </w:tcPr>
          <w:p w:rsidR="00F172A6" w:rsidRPr="00530DC2" w:rsidRDefault="00F172A6" w:rsidP="005F4C86">
            <w:pPr>
              <w:overflowPunct w:val="0"/>
              <w:autoSpaceDE w:val="0"/>
              <w:autoSpaceDN w:val="0"/>
              <w:adjustRightInd w:val="0"/>
              <w:jc w:val="center"/>
              <w:textAlignment w:val="baseline"/>
              <w:rPr>
                <w:rFonts w:ascii="Arial" w:hAnsi="Arial" w:cs="Arial"/>
                <w:sz w:val="20"/>
              </w:rPr>
            </w:pPr>
            <w:r w:rsidRPr="00530DC2">
              <w:rPr>
                <w:rFonts w:ascii="Arial" w:hAnsi="Arial" w:cs="Arial"/>
                <w:sz w:val="20"/>
              </w:rPr>
              <w:t>Serial #</w:t>
            </w:r>
          </w:p>
        </w:tc>
      </w:tr>
      <w:tr w:rsidR="00F172A6" w:rsidRPr="00D33207" w:rsidTr="001B532D">
        <w:trPr>
          <w:jc w:val="center"/>
        </w:trPr>
        <w:tc>
          <w:tcPr>
            <w:tcW w:w="720" w:type="dxa"/>
            <w:vAlign w:val="center"/>
          </w:tcPr>
          <w:p w:rsidR="00F172A6" w:rsidRPr="00D33207" w:rsidRDefault="00734435" w:rsidP="001B532D">
            <w:pPr>
              <w:overflowPunct w:val="0"/>
              <w:autoSpaceDE w:val="0"/>
              <w:autoSpaceDN w:val="0"/>
              <w:adjustRightInd w:val="0"/>
              <w:jc w:val="center"/>
              <w:textAlignment w:val="baseline"/>
              <w:rPr>
                <w:rFonts w:ascii="Arial" w:hAnsi="Arial" w:cs="Arial"/>
                <w:szCs w:val="24"/>
              </w:rPr>
            </w:pPr>
            <w:r>
              <w:rPr>
                <w:rFonts w:ascii="Arial" w:hAnsi="Arial" w:cs="Arial"/>
                <w:szCs w:val="24"/>
              </w:rPr>
              <w:t>1</w:t>
            </w:r>
          </w:p>
        </w:tc>
        <w:tc>
          <w:tcPr>
            <w:tcW w:w="2880" w:type="dxa"/>
            <w:vAlign w:val="center"/>
          </w:tcPr>
          <w:p w:rsidR="00F172A6" w:rsidRPr="00D33207" w:rsidRDefault="00734435" w:rsidP="001B532D">
            <w:pPr>
              <w:overflowPunct w:val="0"/>
              <w:autoSpaceDE w:val="0"/>
              <w:autoSpaceDN w:val="0"/>
              <w:adjustRightInd w:val="0"/>
              <w:jc w:val="center"/>
              <w:textAlignment w:val="baseline"/>
              <w:rPr>
                <w:rFonts w:ascii="Arial" w:hAnsi="Arial" w:cs="Arial"/>
                <w:szCs w:val="24"/>
              </w:rPr>
            </w:pPr>
            <w:r>
              <w:rPr>
                <w:rFonts w:ascii="Arial" w:hAnsi="Arial" w:cs="Arial"/>
                <w:szCs w:val="24"/>
              </w:rPr>
              <w:t>24</w:t>
            </w:r>
            <w:r w:rsidR="00A108E9">
              <w:rPr>
                <w:rFonts w:ascii="Arial" w:hAnsi="Arial" w:cs="Arial"/>
                <w:szCs w:val="24"/>
              </w:rPr>
              <w:t>89 TUV</w:t>
            </w:r>
            <w:r>
              <w:rPr>
                <w:rFonts w:ascii="Arial" w:hAnsi="Arial" w:cs="Arial"/>
                <w:szCs w:val="24"/>
              </w:rPr>
              <w:t xml:space="preserve"> Refresh</w:t>
            </w:r>
          </w:p>
        </w:tc>
        <w:tc>
          <w:tcPr>
            <w:tcW w:w="1800" w:type="dxa"/>
          </w:tcPr>
          <w:p w:rsidR="00F172A6" w:rsidRPr="00B438A3" w:rsidRDefault="00734435" w:rsidP="00A108E9">
            <w:pPr>
              <w:overflowPunct w:val="0"/>
              <w:autoSpaceDE w:val="0"/>
              <w:autoSpaceDN w:val="0"/>
              <w:adjustRightInd w:val="0"/>
              <w:jc w:val="center"/>
              <w:textAlignment w:val="baseline"/>
              <w:rPr>
                <w:rFonts w:ascii="Arial" w:hAnsi="Arial" w:cs="Arial"/>
                <w:szCs w:val="24"/>
              </w:rPr>
            </w:pPr>
            <w:r>
              <w:rPr>
                <w:rFonts w:ascii="Arial" w:hAnsi="Arial" w:cs="Arial"/>
                <w:szCs w:val="24"/>
              </w:rPr>
              <w:t>18624</w:t>
            </w:r>
            <w:r w:rsidR="00A108E9">
              <w:rPr>
                <w:rFonts w:ascii="Arial" w:hAnsi="Arial" w:cs="Arial"/>
                <w:szCs w:val="24"/>
              </w:rPr>
              <w:t>89</w:t>
            </w:r>
            <w:r>
              <w:rPr>
                <w:rFonts w:ascii="Arial" w:hAnsi="Arial" w:cs="Arial"/>
                <w:szCs w:val="24"/>
              </w:rPr>
              <w:t>00</w:t>
            </w:r>
          </w:p>
        </w:tc>
        <w:tc>
          <w:tcPr>
            <w:tcW w:w="1711" w:type="dxa"/>
          </w:tcPr>
          <w:p w:rsidR="00F172A6" w:rsidRPr="00D33207" w:rsidRDefault="008748E8" w:rsidP="00890806">
            <w:pPr>
              <w:overflowPunct w:val="0"/>
              <w:autoSpaceDE w:val="0"/>
              <w:autoSpaceDN w:val="0"/>
              <w:adjustRightInd w:val="0"/>
              <w:jc w:val="center"/>
              <w:textAlignment w:val="baseline"/>
              <w:rPr>
                <w:rFonts w:ascii="Arial" w:hAnsi="Arial" w:cs="Arial"/>
                <w:szCs w:val="24"/>
              </w:rPr>
            </w:pPr>
            <w:r>
              <w:rPr>
                <w:rFonts w:ascii="Arial" w:hAnsi="Arial" w:cs="Arial"/>
                <w:szCs w:val="24"/>
              </w:rPr>
              <w:t>D</w:t>
            </w:r>
          </w:p>
        </w:tc>
        <w:tc>
          <w:tcPr>
            <w:tcW w:w="3015" w:type="dxa"/>
          </w:tcPr>
          <w:p w:rsidR="00F172A6" w:rsidRPr="00B438A3" w:rsidRDefault="00A108E9" w:rsidP="00890806">
            <w:pPr>
              <w:overflowPunct w:val="0"/>
              <w:autoSpaceDE w:val="0"/>
              <w:autoSpaceDN w:val="0"/>
              <w:adjustRightInd w:val="0"/>
              <w:jc w:val="center"/>
              <w:textAlignment w:val="baseline"/>
              <w:rPr>
                <w:rFonts w:ascii="Arial" w:hAnsi="Arial" w:cs="Arial"/>
                <w:szCs w:val="24"/>
              </w:rPr>
            </w:pPr>
            <w:r w:rsidRPr="00A108E9">
              <w:rPr>
                <w:rFonts w:ascii="Arial" w:hAnsi="Arial" w:cs="Arial"/>
                <w:szCs w:val="24"/>
              </w:rPr>
              <w:t>M1287E902N</w:t>
            </w:r>
          </w:p>
        </w:tc>
      </w:tr>
      <w:tr w:rsidR="00A108E9" w:rsidRPr="00D33207" w:rsidTr="001B532D">
        <w:trPr>
          <w:jc w:val="center"/>
        </w:trPr>
        <w:tc>
          <w:tcPr>
            <w:tcW w:w="720" w:type="dxa"/>
            <w:vAlign w:val="center"/>
          </w:tcPr>
          <w:p w:rsidR="00A108E9" w:rsidRDefault="00A108E9" w:rsidP="001B532D">
            <w:pPr>
              <w:overflowPunct w:val="0"/>
              <w:autoSpaceDE w:val="0"/>
              <w:autoSpaceDN w:val="0"/>
              <w:adjustRightInd w:val="0"/>
              <w:jc w:val="center"/>
              <w:textAlignment w:val="baseline"/>
              <w:rPr>
                <w:rFonts w:ascii="Arial" w:hAnsi="Arial" w:cs="Arial"/>
                <w:szCs w:val="24"/>
              </w:rPr>
            </w:pPr>
            <w:r>
              <w:rPr>
                <w:rFonts w:ascii="Arial" w:hAnsi="Arial" w:cs="Arial"/>
                <w:szCs w:val="24"/>
              </w:rPr>
              <w:t>5</w:t>
            </w:r>
          </w:p>
        </w:tc>
        <w:tc>
          <w:tcPr>
            <w:tcW w:w="2880" w:type="dxa"/>
            <w:vAlign w:val="center"/>
          </w:tcPr>
          <w:p w:rsidR="00A108E9" w:rsidRDefault="00A108E9" w:rsidP="001B532D">
            <w:pPr>
              <w:overflowPunct w:val="0"/>
              <w:autoSpaceDE w:val="0"/>
              <w:autoSpaceDN w:val="0"/>
              <w:adjustRightInd w:val="0"/>
              <w:jc w:val="center"/>
              <w:textAlignment w:val="baseline"/>
              <w:rPr>
                <w:rFonts w:ascii="Arial" w:hAnsi="Arial" w:cs="Arial"/>
                <w:szCs w:val="24"/>
              </w:rPr>
            </w:pPr>
            <w:r>
              <w:rPr>
                <w:rFonts w:ascii="Arial" w:hAnsi="Arial" w:cs="Arial"/>
                <w:szCs w:val="24"/>
              </w:rPr>
              <w:t>SENSATA Over Temp Switch</w:t>
            </w:r>
            <w:r w:rsidR="001E0AF4">
              <w:rPr>
                <w:rFonts w:ascii="Arial" w:hAnsi="Arial" w:cs="Arial"/>
                <w:szCs w:val="24"/>
              </w:rPr>
              <w:t xml:space="preserve"> using beryllium copper C17500 spring contact arm</w:t>
            </w:r>
          </w:p>
        </w:tc>
        <w:tc>
          <w:tcPr>
            <w:tcW w:w="1800" w:type="dxa"/>
            <w:vAlign w:val="center"/>
          </w:tcPr>
          <w:p w:rsidR="00A108E9" w:rsidRDefault="00A108E9" w:rsidP="001E0AF4">
            <w:pPr>
              <w:overflowPunct w:val="0"/>
              <w:autoSpaceDE w:val="0"/>
              <w:autoSpaceDN w:val="0"/>
              <w:adjustRightInd w:val="0"/>
              <w:jc w:val="center"/>
              <w:textAlignment w:val="baseline"/>
              <w:rPr>
                <w:rFonts w:ascii="Arial" w:hAnsi="Arial" w:cs="Arial"/>
                <w:szCs w:val="24"/>
              </w:rPr>
            </w:pPr>
            <w:r>
              <w:rPr>
                <w:rFonts w:ascii="Arial" w:hAnsi="Arial" w:cs="Arial"/>
                <w:szCs w:val="24"/>
              </w:rPr>
              <w:t>352000115</w:t>
            </w:r>
          </w:p>
        </w:tc>
        <w:tc>
          <w:tcPr>
            <w:tcW w:w="1711" w:type="dxa"/>
            <w:vAlign w:val="center"/>
          </w:tcPr>
          <w:p w:rsidR="00A108E9" w:rsidRDefault="00A108E9" w:rsidP="001E0AF4">
            <w:pPr>
              <w:overflowPunct w:val="0"/>
              <w:autoSpaceDE w:val="0"/>
              <w:autoSpaceDN w:val="0"/>
              <w:adjustRightInd w:val="0"/>
              <w:jc w:val="center"/>
              <w:textAlignment w:val="baseline"/>
              <w:rPr>
                <w:rFonts w:ascii="Arial" w:hAnsi="Arial" w:cs="Arial"/>
                <w:szCs w:val="24"/>
              </w:rPr>
            </w:pPr>
            <w:r>
              <w:rPr>
                <w:rFonts w:ascii="Arial" w:hAnsi="Arial" w:cs="Arial"/>
                <w:szCs w:val="24"/>
              </w:rPr>
              <w:t>NA</w:t>
            </w:r>
          </w:p>
        </w:tc>
        <w:tc>
          <w:tcPr>
            <w:tcW w:w="3015" w:type="dxa"/>
            <w:vAlign w:val="center"/>
          </w:tcPr>
          <w:p w:rsidR="00A108E9" w:rsidRPr="00A108E9" w:rsidRDefault="00A108E9" w:rsidP="001E0AF4">
            <w:pPr>
              <w:overflowPunct w:val="0"/>
              <w:autoSpaceDE w:val="0"/>
              <w:autoSpaceDN w:val="0"/>
              <w:adjustRightInd w:val="0"/>
              <w:jc w:val="center"/>
              <w:textAlignment w:val="baseline"/>
              <w:rPr>
                <w:rFonts w:ascii="Arial" w:hAnsi="Arial" w:cs="Arial"/>
                <w:szCs w:val="24"/>
              </w:rPr>
            </w:pPr>
            <w:r>
              <w:rPr>
                <w:rFonts w:ascii="Arial" w:hAnsi="Arial" w:cs="Arial"/>
                <w:szCs w:val="24"/>
              </w:rPr>
              <w:t>NA</w:t>
            </w:r>
          </w:p>
        </w:tc>
      </w:tr>
      <w:tr w:rsidR="001E0AF4" w:rsidRPr="00D33207" w:rsidTr="001B532D">
        <w:trPr>
          <w:jc w:val="center"/>
        </w:trPr>
        <w:tc>
          <w:tcPr>
            <w:tcW w:w="720" w:type="dxa"/>
            <w:vAlign w:val="center"/>
          </w:tcPr>
          <w:p w:rsidR="001E0AF4" w:rsidRDefault="001E0AF4" w:rsidP="001B532D">
            <w:pPr>
              <w:overflowPunct w:val="0"/>
              <w:autoSpaceDE w:val="0"/>
              <w:autoSpaceDN w:val="0"/>
              <w:adjustRightInd w:val="0"/>
              <w:jc w:val="center"/>
              <w:textAlignment w:val="baseline"/>
              <w:rPr>
                <w:rFonts w:ascii="Arial" w:hAnsi="Arial" w:cs="Arial"/>
                <w:szCs w:val="24"/>
              </w:rPr>
            </w:pPr>
            <w:r>
              <w:rPr>
                <w:rFonts w:ascii="Arial" w:hAnsi="Arial" w:cs="Arial"/>
                <w:szCs w:val="24"/>
              </w:rPr>
              <w:t>5</w:t>
            </w:r>
          </w:p>
        </w:tc>
        <w:tc>
          <w:tcPr>
            <w:tcW w:w="2880" w:type="dxa"/>
            <w:vAlign w:val="center"/>
          </w:tcPr>
          <w:p w:rsidR="001E0AF4" w:rsidRDefault="001E0AF4" w:rsidP="001B532D">
            <w:pPr>
              <w:overflowPunct w:val="0"/>
              <w:autoSpaceDE w:val="0"/>
              <w:autoSpaceDN w:val="0"/>
              <w:adjustRightInd w:val="0"/>
              <w:jc w:val="center"/>
              <w:textAlignment w:val="baseline"/>
              <w:rPr>
                <w:rFonts w:ascii="Arial" w:hAnsi="Arial" w:cs="Arial"/>
                <w:szCs w:val="24"/>
              </w:rPr>
            </w:pPr>
            <w:r>
              <w:rPr>
                <w:rFonts w:ascii="Arial" w:hAnsi="Arial" w:cs="Arial"/>
                <w:szCs w:val="24"/>
              </w:rPr>
              <w:t>SENSATA Over Temp Switch using beryllium copper C17510 spring contact arm</w:t>
            </w:r>
          </w:p>
        </w:tc>
        <w:tc>
          <w:tcPr>
            <w:tcW w:w="1800" w:type="dxa"/>
            <w:vAlign w:val="center"/>
          </w:tcPr>
          <w:p w:rsidR="001E0AF4" w:rsidRDefault="001E0AF4" w:rsidP="001E0AF4">
            <w:pPr>
              <w:overflowPunct w:val="0"/>
              <w:autoSpaceDE w:val="0"/>
              <w:autoSpaceDN w:val="0"/>
              <w:adjustRightInd w:val="0"/>
              <w:jc w:val="center"/>
              <w:textAlignment w:val="baseline"/>
              <w:rPr>
                <w:rFonts w:ascii="Arial" w:hAnsi="Arial" w:cs="Arial"/>
                <w:szCs w:val="24"/>
              </w:rPr>
            </w:pPr>
            <w:r>
              <w:rPr>
                <w:rFonts w:ascii="Arial" w:hAnsi="Arial" w:cs="Arial"/>
                <w:szCs w:val="24"/>
              </w:rPr>
              <w:t>352000115</w:t>
            </w:r>
          </w:p>
        </w:tc>
        <w:tc>
          <w:tcPr>
            <w:tcW w:w="1711" w:type="dxa"/>
            <w:vAlign w:val="center"/>
          </w:tcPr>
          <w:p w:rsidR="001E0AF4" w:rsidRDefault="001E0AF4" w:rsidP="001E0AF4">
            <w:pPr>
              <w:overflowPunct w:val="0"/>
              <w:autoSpaceDE w:val="0"/>
              <w:autoSpaceDN w:val="0"/>
              <w:adjustRightInd w:val="0"/>
              <w:jc w:val="center"/>
              <w:textAlignment w:val="baseline"/>
              <w:rPr>
                <w:rFonts w:ascii="Arial" w:hAnsi="Arial" w:cs="Arial"/>
                <w:szCs w:val="24"/>
              </w:rPr>
            </w:pPr>
            <w:r>
              <w:rPr>
                <w:rFonts w:ascii="Arial" w:hAnsi="Arial" w:cs="Arial"/>
                <w:szCs w:val="24"/>
              </w:rPr>
              <w:t>NA</w:t>
            </w:r>
          </w:p>
        </w:tc>
        <w:tc>
          <w:tcPr>
            <w:tcW w:w="3015" w:type="dxa"/>
            <w:vAlign w:val="center"/>
          </w:tcPr>
          <w:p w:rsidR="001E0AF4" w:rsidRPr="00A108E9" w:rsidRDefault="001E0AF4" w:rsidP="001E0AF4">
            <w:pPr>
              <w:overflowPunct w:val="0"/>
              <w:autoSpaceDE w:val="0"/>
              <w:autoSpaceDN w:val="0"/>
              <w:adjustRightInd w:val="0"/>
              <w:jc w:val="center"/>
              <w:textAlignment w:val="baseline"/>
              <w:rPr>
                <w:rFonts w:ascii="Arial" w:hAnsi="Arial" w:cs="Arial"/>
                <w:szCs w:val="24"/>
              </w:rPr>
            </w:pPr>
            <w:r>
              <w:rPr>
                <w:rFonts w:ascii="Arial" w:hAnsi="Arial" w:cs="Arial"/>
                <w:szCs w:val="24"/>
              </w:rPr>
              <w:t>NA</w:t>
            </w:r>
          </w:p>
        </w:tc>
      </w:tr>
    </w:tbl>
    <w:p w:rsidR="00F172A6" w:rsidRDefault="00F172A6" w:rsidP="0061180B">
      <w:pPr>
        <w:pStyle w:val="Heading1"/>
        <w:numPr>
          <w:ilvl w:val="0"/>
          <w:numId w:val="2"/>
        </w:numPr>
      </w:pPr>
      <w:bookmarkStart w:id="12" w:name="_Toc304463194"/>
      <w:bookmarkStart w:id="13" w:name="_Toc387306697"/>
      <w:r w:rsidRPr="00DD6D2E">
        <w:t>Procedure</w:t>
      </w:r>
      <w:bookmarkEnd w:id="12"/>
      <w:bookmarkEnd w:id="13"/>
    </w:p>
    <w:p w:rsidR="001E0AF4" w:rsidRPr="001E0AF4" w:rsidRDefault="001E0AF4" w:rsidP="004B741A">
      <w:pPr>
        <w:pStyle w:val="Heading2"/>
        <w:numPr>
          <w:ilvl w:val="1"/>
          <w:numId w:val="2"/>
        </w:numPr>
      </w:pPr>
      <w:bookmarkStart w:id="14" w:name="_Toc387306698"/>
      <w:r>
        <w:t xml:space="preserve">Second Evaluation - Using Samples with </w:t>
      </w:r>
      <w:r w:rsidR="00D845B9">
        <w:t>B</w:t>
      </w:r>
      <w:r>
        <w:t xml:space="preserve">eryllium </w:t>
      </w:r>
      <w:r w:rsidR="00D845B9">
        <w:t>C</w:t>
      </w:r>
      <w:r>
        <w:t xml:space="preserve">opper </w:t>
      </w:r>
      <w:r w:rsidR="00D845B9">
        <w:t>C17510 S</w:t>
      </w:r>
      <w:r>
        <w:t xml:space="preserve">pring </w:t>
      </w:r>
      <w:r w:rsidR="00D845B9">
        <w:t>C</w:t>
      </w:r>
      <w:r>
        <w:t xml:space="preserve">ontact </w:t>
      </w:r>
      <w:r w:rsidR="00D845B9">
        <w:t>A</w:t>
      </w:r>
      <w:r>
        <w:t>rm</w:t>
      </w:r>
      <w:bookmarkEnd w:id="14"/>
      <w:r>
        <w:t xml:space="preserve"> </w:t>
      </w:r>
    </w:p>
    <w:p w:rsidR="001E0AF4" w:rsidRDefault="00C8025C" w:rsidP="001E0AF4">
      <w:pPr>
        <w:rPr>
          <w:szCs w:val="22"/>
        </w:rPr>
      </w:pPr>
      <w:r>
        <w:rPr>
          <w:szCs w:val="22"/>
        </w:rPr>
        <w:t>A</w:t>
      </w:r>
      <w:r w:rsidR="001E0AF4">
        <w:rPr>
          <w:szCs w:val="22"/>
        </w:rPr>
        <w:t xml:space="preserve"> 2489 TUV detector was used to conduct this test. The thermocouple was placed under a screw and a washer placed about an inch away from the OTS under test as shown in </w:t>
      </w:r>
      <w:r w:rsidR="001E0AF4">
        <w:rPr>
          <w:szCs w:val="22"/>
        </w:rPr>
        <w:fldChar w:fldCharType="begin"/>
      </w:r>
      <w:r w:rsidR="001E0AF4">
        <w:rPr>
          <w:szCs w:val="22"/>
        </w:rPr>
        <w:instrText xml:space="preserve"> REF _Ref387239500 \h </w:instrText>
      </w:r>
      <w:r w:rsidR="001E0AF4">
        <w:rPr>
          <w:szCs w:val="22"/>
        </w:rPr>
      </w:r>
      <w:r w:rsidR="001E0AF4">
        <w:rPr>
          <w:szCs w:val="22"/>
        </w:rPr>
        <w:fldChar w:fldCharType="separate"/>
      </w:r>
      <w:r w:rsidR="00A70300">
        <w:t xml:space="preserve">Figure </w:t>
      </w:r>
      <w:r w:rsidR="00A70300">
        <w:rPr>
          <w:noProof/>
        </w:rPr>
        <w:t>2</w:t>
      </w:r>
      <w:r w:rsidR="001E0AF4">
        <w:rPr>
          <w:szCs w:val="22"/>
        </w:rPr>
        <w:fldChar w:fldCharType="end"/>
      </w:r>
      <w:r w:rsidR="001E0AF4">
        <w:rPr>
          <w:szCs w:val="22"/>
        </w:rPr>
        <w:t>. This ensures that the thermocouple is undisturbed when the OTS samples are replaced</w:t>
      </w:r>
      <w:r>
        <w:rPr>
          <w:szCs w:val="22"/>
        </w:rPr>
        <w:t xml:space="preserve"> for testing</w:t>
      </w:r>
      <w:r w:rsidR="001E0AF4">
        <w:rPr>
          <w:szCs w:val="22"/>
        </w:rPr>
        <w:t xml:space="preserve">. The cover was removed and the optics bench fan was disconnected to get the </w:t>
      </w:r>
      <w:r>
        <w:rPr>
          <w:szCs w:val="22"/>
        </w:rPr>
        <w:t>instrument to reach</w:t>
      </w:r>
      <w:r w:rsidR="001E0AF4">
        <w:rPr>
          <w:szCs w:val="22"/>
        </w:rPr>
        <w:t xml:space="preserve"> high temperature. Forced air on the optics bench and a foam cover were used occasionally to speed up the process of reaching closer to the desired temperature.</w:t>
      </w:r>
    </w:p>
    <w:p w:rsidR="00A17EA8" w:rsidRDefault="00A17EA8" w:rsidP="001E0AF4">
      <w:pPr>
        <w:rPr>
          <w:szCs w:val="22"/>
        </w:rPr>
      </w:pPr>
    </w:p>
    <w:p w:rsidR="00A17EA8" w:rsidRDefault="00A17EA8" w:rsidP="001E0AF4">
      <w:pPr>
        <w:rPr>
          <w:szCs w:val="22"/>
        </w:rPr>
      </w:pPr>
      <w:r>
        <w:rPr>
          <w:szCs w:val="22"/>
        </w:rPr>
        <w:t>Five samples of the new thermostats using beryllium copper spring C17510, five samples of the previous new thermostats using beryllium copper spring C17500, and one original thermostat made by Selco that is being replaced.</w:t>
      </w:r>
    </w:p>
    <w:p w:rsidR="00A17EA8" w:rsidRDefault="00A17EA8" w:rsidP="001E0AF4">
      <w:pPr>
        <w:rPr>
          <w:szCs w:val="22"/>
        </w:rPr>
      </w:pPr>
    </w:p>
    <w:p w:rsidR="00A17EA8" w:rsidRDefault="00A17EA8" w:rsidP="00A17EA8">
      <w:r>
        <w:t xml:space="preserve">The unit was turned on, letting the lamp to turn on and wait for it until the temperature reaches the Over Temperature Switch’s open threshold. The lamp then turns off and the lamp housing cools off. When the temperature reaches the re-close temperature </w:t>
      </w:r>
      <w:r w:rsidR="00C8025C">
        <w:t xml:space="preserve">setting </w:t>
      </w:r>
      <w:r>
        <w:t xml:space="preserve">of the </w:t>
      </w:r>
      <w:r w:rsidR="00C8025C">
        <w:t>OTS</w:t>
      </w:r>
      <w:r>
        <w:t>, the lamp turns on again</w:t>
      </w:r>
      <w:r w:rsidR="00C8025C">
        <w:t xml:space="preserve"> and</w:t>
      </w:r>
      <w:r w:rsidR="00C8025C" w:rsidRPr="00C8025C">
        <w:t xml:space="preserve"> </w:t>
      </w:r>
      <w:r w:rsidR="00C8025C">
        <w:t>the instrument resets</w:t>
      </w:r>
      <w:r>
        <w:t>. This testing sequence was repeated three times on the eleven samples under test.</w:t>
      </w:r>
    </w:p>
    <w:p w:rsidR="00BC65DD" w:rsidRDefault="00BC65DD" w:rsidP="00A17EA8"/>
    <w:p w:rsidR="00BC65DD" w:rsidRPr="00875F9E" w:rsidRDefault="00BC65DD" w:rsidP="00A17EA8">
      <w:r>
        <w:t xml:space="preserve">After the lamp turns on, the current to the LPS that is switched by the thermostat is measured using a clamp Ammeter that is clamped over one of the thermostat wires. The accuracy of this measurement is not critical since the current drifts with time as the lamp is turned on. The voltage to the LPS (24V) is also measured at the board using a Multimeter. </w:t>
      </w:r>
    </w:p>
    <w:p w:rsidR="00D845B9" w:rsidRPr="004B741A" w:rsidRDefault="00D845B9" w:rsidP="004B741A">
      <w:pPr>
        <w:pStyle w:val="Heading3"/>
        <w:numPr>
          <w:ilvl w:val="2"/>
          <w:numId w:val="2"/>
        </w:numPr>
      </w:pPr>
      <w:bookmarkStart w:id="15" w:name="_Toc387306699"/>
      <w:r w:rsidRPr="004B741A">
        <w:t>Baseline Using the Current OTS</w:t>
      </w:r>
      <w:bookmarkEnd w:id="15"/>
    </w:p>
    <w:p w:rsidR="00D845B9" w:rsidRDefault="00D845B9" w:rsidP="00D845B9">
      <w:r>
        <w:t>The unit is tested using the original switch made by Selco that came in the 2489 TUV Refresh used for testing per the procedure listed above.</w:t>
      </w:r>
    </w:p>
    <w:p w:rsidR="00D845B9" w:rsidRDefault="00D845B9" w:rsidP="004B741A">
      <w:pPr>
        <w:pStyle w:val="Heading3"/>
        <w:numPr>
          <w:ilvl w:val="2"/>
          <w:numId w:val="2"/>
        </w:numPr>
      </w:pPr>
      <w:bookmarkStart w:id="16" w:name="_Toc387306700"/>
      <w:r w:rsidRPr="004B741A">
        <w:lastRenderedPageBreak/>
        <w:t>Testing Five Samples of the Proposed Sensata OTS with Beryllium Copper C17510 Spring Contact Arm</w:t>
      </w:r>
      <w:bookmarkEnd w:id="16"/>
    </w:p>
    <w:p w:rsidR="00D845B9" w:rsidRDefault="00D845B9" w:rsidP="00D845B9">
      <w:pPr>
        <w:rPr>
          <w:szCs w:val="22"/>
        </w:rPr>
      </w:pPr>
      <w:r>
        <w:rPr>
          <w:szCs w:val="22"/>
        </w:rPr>
        <w:t xml:space="preserve">A new cable was assembled that has a quick disconnect terminals similar to the final proposed implementation of the new switch. All five samples were tested and the data was collected and compared to the other </w:t>
      </w:r>
      <w:r w:rsidR="00C8025C">
        <w:rPr>
          <w:szCs w:val="22"/>
        </w:rPr>
        <w:t>thermostats</w:t>
      </w:r>
      <w:r>
        <w:rPr>
          <w:szCs w:val="22"/>
        </w:rPr>
        <w:t xml:space="preserve"> under test.</w:t>
      </w:r>
    </w:p>
    <w:p w:rsidR="00D845B9" w:rsidRPr="004B741A" w:rsidRDefault="00D845B9" w:rsidP="004B741A">
      <w:pPr>
        <w:pStyle w:val="Heading3"/>
        <w:numPr>
          <w:ilvl w:val="2"/>
          <w:numId w:val="2"/>
        </w:numPr>
      </w:pPr>
      <w:bookmarkStart w:id="17" w:name="_Toc387306701"/>
      <w:r w:rsidRPr="004B741A">
        <w:t>Testing Five Samples of the Previously Proposed Sensata OTS with Beryllium Copper C17500 spring Contact Arm</w:t>
      </w:r>
      <w:bookmarkEnd w:id="17"/>
    </w:p>
    <w:p w:rsidR="00D845B9" w:rsidRDefault="00D845B9" w:rsidP="00D845B9">
      <w:pPr>
        <w:rPr>
          <w:szCs w:val="22"/>
        </w:rPr>
      </w:pPr>
      <w:r>
        <w:rPr>
          <w:szCs w:val="22"/>
        </w:rPr>
        <w:t>Five samples using the previous proposed OTS with beryllium copper C17500 were tested</w:t>
      </w:r>
      <w:r w:rsidR="00C8025C">
        <w:rPr>
          <w:szCs w:val="22"/>
        </w:rPr>
        <w:t>. T</w:t>
      </w:r>
      <w:r>
        <w:rPr>
          <w:szCs w:val="22"/>
        </w:rPr>
        <w:t>he data was collected and compared to the new OTS under test.</w:t>
      </w:r>
    </w:p>
    <w:p w:rsidR="00D845B9" w:rsidRPr="00D845B9" w:rsidRDefault="00D845B9" w:rsidP="00D845B9"/>
    <w:p w:rsidR="00D845B9" w:rsidRDefault="00D845B9" w:rsidP="00D845B9">
      <w:pPr>
        <w:rPr>
          <w:szCs w:val="22"/>
        </w:rPr>
      </w:pPr>
    </w:p>
    <w:p w:rsidR="00D845B9" w:rsidRDefault="00D845B9" w:rsidP="001E0AF4">
      <w:pPr>
        <w:rPr>
          <w:szCs w:val="22"/>
        </w:rPr>
      </w:pPr>
    </w:p>
    <w:p w:rsidR="001E0AF4" w:rsidRDefault="00E31834" w:rsidP="001E0AF4">
      <w:pPr>
        <w:keepNext/>
        <w:jc w:val="center"/>
      </w:pPr>
      <w:r>
        <w:rPr>
          <w:noProof/>
          <w:szCs w:val="22"/>
          <w:lang w:val="en-SG" w:eastAsia="zh-CN"/>
        </w:rPr>
        <mc:AlternateContent>
          <mc:Choice Requires="wps">
            <w:drawing>
              <wp:anchor distT="0" distB="0" distL="114300" distR="114300" simplePos="0" relativeHeight="251660800" behindDoc="0" locked="0" layoutInCell="1" allowOverlap="1">
                <wp:simplePos x="0" y="0"/>
                <wp:positionH relativeFrom="column">
                  <wp:posOffset>5548630</wp:posOffset>
                </wp:positionH>
                <wp:positionV relativeFrom="paragraph">
                  <wp:posOffset>2211705</wp:posOffset>
                </wp:positionV>
                <wp:extent cx="1093470" cy="504190"/>
                <wp:effectExtent l="0" t="0" r="0" b="0"/>
                <wp:wrapNone/>
                <wp:docPr id="5"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3470" cy="504190"/>
                        </a:xfrm>
                        <a:prstGeom prst="wedgeRoundRectCallout">
                          <a:avLst>
                            <a:gd name="adj1" fmla="val -78051"/>
                            <a:gd name="adj2" fmla="val -196727"/>
                            <a:gd name="adj3" fmla="val 16667"/>
                          </a:avLst>
                        </a:prstGeom>
                        <a:solidFill>
                          <a:srgbClr val="FFFFFF"/>
                        </a:solidFill>
                        <a:ln w="9525">
                          <a:solidFill>
                            <a:srgbClr val="0070C0"/>
                          </a:solidFill>
                          <a:miter lim="800000"/>
                          <a:headEnd/>
                          <a:tailEnd/>
                        </a:ln>
                      </wps:spPr>
                      <wps:txbx>
                        <w:txbxContent>
                          <w:p w:rsidR="003661C0" w:rsidRPr="003661C0" w:rsidRDefault="003661C0" w:rsidP="003661C0">
                            <w:pPr>
                              <w:jc w:val="center"/>
                              <w:rPr>
                                <w:color w:val="0070C0"/>
                              </w:rPr>
                            </w:pPr>
                            <w:r w:rsidRPr="003661C0">
                              <w:rPr>
                                <w:color w:val="0070C0"/>
                              </w:rPr>
                              <w:t>Thermostat Under Test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1" o:spid="_x0000_s1027" type="#_x0000_t62" style="position:absolute;left:0;text-align:left;margin-left:436.9pt;margin-top:174.15pt;width:86.1pt;height:39.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" adj="-6059,-31693" strokecolor="#0070c0">
                <v:textbox>
                  <w:txbxContent>
                    <w:p w:rsidR="003661C0" w:rsidRPr="003661C0" w:rsidRDefault="003661C0" w:rsidP="003661C0">
                      <w:pPr>
                        <w:jc w:val="center"/>
                        <w:rPr>
                          <w:color w:val="0070C0"/>
                        </w:rPr>
                      </w:pPr>
                      <w:r w:rsidRPr="003661C0">
                        <w:rPr>
                          <w:color w:val="0070C0"/>
                        </w:rPr>
                        <w:t>Thermostat Under Test</w:t>
                      </w:r>
                    </w:p>
                  </w:txbxContent>
                </v:textbox>
              </v:shape>
            </w:pict>
          </mc:Fallback>
        </mc:AlternateContent>
      </w:r>
      <w:r>
        <w:rPr>
          <w:noProof/>
          <w:szCs w:val="22"/>
          <w:lang w:val="en-SG" w:eastAsia="zh-CN"/>
        </w:rPr>
        <mc:AlternateContent>
          <mc:Choice Requires="wps">
            <w:drawing>
              <wp:anchor distT="0" distB="0" distL="114300" distR="114300" simplePos="0" relativeHeight="251659776" behindDoc="0" locked="0" layoutInCell="1" allowOverlap="1">
                <wp:simplePos x="0" y="0"/>
                <wp:positionH relativeFrom="column">
                  <wp:posOffset>5636895</wp:posOffset>
                </wp:positionH>
                <wp:positionV relativeFrom="paragraph">
                  <wp:posOffset>423545</wp:posOffset>
                </wp:positionV>
                <wp:extent cx="1537335" cy="669925"/>
                <wp:effectExtent l="0" t="0" r="0" b="0"/>
                <wp:wrapNone/>
                <wp:docPr id="1" name="AutoShap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7335" cy="669925"/>
                        </a:xfrm>
                        <a:prstGeom prst="wedgeRoundRectCallout">
                          <a:avLst>
                            <a:gd name="adj1" fmla="val -76190"/>
                            <a:gd name="adj2" fmla="val 9528"/>
                            <a:gd name="adj3" fmla="val 16667"/>
                          </a:avLst>
                        </a:prstGeom>
                        <a:solidFill>
                          <a:srgbClr val="FFFFFF"/>
                        </a:solidFill>
                        <a:ln w="9525">
                          <a:solidFill>
                            <a:srgbClr val="FF0000"/>
                          </a:solidFill>
                          <a:miter lim="800000"/>
                          <a:headEnd/>
                          <a:tailEnd/>
                        </a:ln>
                      </wps:spPr>
                      <wps:txbx>
                        <w:txbxContent>
                          <w:p w:rsidR="001E0AF4" w:rsidRPr="00E73C8B" w:rsidRDefault="001E0AF4" w:rsidP="001E0AF4">
                            <w:pPr>
                              <w:jc w:val="center"/>
                              <w:rPr>
                                <w:color w:val="FF0000"/>
                              </w:rPr>
                            </w:pPr>
                            <w:r>
                              <w:rPr>
                                <w:color w:val="FF0000"/>
                              </w:rPr>
                              <w:t>Thermocouple placed under a screw and a washer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9" o:spid="_x0000_s1028" type="#_x0000_t62" style="position:absolute;left:0;text-align:left;margin-left:443.85pt;margin-top:33.35pt;width:121.05pt;height:52.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" adj="-5657,12858" strokecolor="red">
                <v:textbox>
                  <w:txbxContent>
                    <w:p w:rsidR="001E0AF4" w:rsidRPr="00E73C8B" w:rsidRDefault="001E0AF4" w:rsidP="001E0AF4">
                      <w:pPr>
                        <w:jc w:val="center"/>
                        <w:rPr>
                          <w:color w:val="FF0000"/>
                        </w:rPr>
                      </w:pPr>
                      <w:r>
                        <w:rPr>
                          <w:color w:val="FF0000"/>
                        </w:rPr>
                        <w:t>Thermocouple placed under a screw and a washer</w:t>
                      </w:r>
                    </w:p>
                  </w:txbxContent>
                </v:textbox>
              </v:shape>
            </w:pict>
          </mc:Fallback>
        </mc:AlternateContent>
      </w:r>
      <w:r w:rsidR="001E0AF4" w:rsidRPr="001E0AF4">
        <w:rPr>
          <w:snapToGrid w:val="0"/>
          <w:color w:val="000000"/>
          <w:w w:val="0"/>
          <w:sz w:val="0"/>
          <w:szCs w:val="0"/>
          <w:u w:color="000000"/>
          <w:bdr w:val="none" w:sz="0" w:space="0" w:color="000000"/>
          <w:shd w:val="clear" w:color="000000" w:fill="000000"/>
          <w:lang w:val="x-none" w:eastAsia="x-none" w:bidi="x-none"/>
        </w:rPr>
        <w:t xml:space="preserve"> </w:t>
      </w:r>
      <w:r>
        <w:rPr>
          <w:noProof/>
          <w:lang w:val="en-SG" w:eastAsia="zh-CN"/>
        </w:rPr>
        <w:drawing>
          <wp:inline distT="0" distB="0" distL="0" distR="0">
            <wp:extent cx="5367020" cy="4008120"/>
            <wp:effectExtent l="19050" t="19050" r="24130" b="11430"/>
            <wp:docPr id="2" name="Picture 2" descr="IMG_0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044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67020" cy="4008120"/>
                    </a:xfrm>
                    <a:prstGeom prst="rect">
                      <a:avLst/>
                    </a:prstGeom>
                    <a:noFill/>
                    <a:ln w="6350" cmpd="sng">
                      <a:solidFill>
                        <a:srgbClr val="0070C0"/>
                      </a:solidFill>
                      <a:miter lim="800000"/>
                      <a:headEnd/>
                      <a:tailEnd/>
                    </a:ln>
                    <a:effectLst/>
                  </pic:spPr>
                </pic:pic>
              </a:graphicData>
            </a:graphic>
          </wp:inline>
        </w:drawing>
      </w:r>
    </w:p>
    <w:p w:rsidR="001E0AF4" w:rsidRDefault="001E0AF4" w:rsidP="001E0AF4">
      <w:pPr>
        <w:pStyle w:val="Caption"/>
      </w:pPr>
      <w:bookmarkStart w:id="18" w:name="_Ref387239500"/>
      <w:r>
        <w:t xml:space="preserve">Figure </w:t>
      </w:r>
      <w:fldSimple w:instr=" SEQ Figure \* ARABIC ">
        <w:r w:rsidR="00A70300">
          <w:rPr>
            <w:noProof/>
          </w:rPr>
          <w:t>2</w:t>
        </w:r>
      </w:fldSimple>
      <w:bookmarkEnd w:id="18"/>
      <w:r>
        <w:t>- Location of the Over Temperature Switch and the thermocouple for the second evaluation</w:t>
      </w:r>
    </w:p>
    <w:p w:rsidR="00F172A6" w:rsidRDefault="00F172A6" w:rsidP="00D845B9">
      <w:pPr>
        <w:pStyle w:val="Heading1"/>
        <w:numPr>
          <w:ilvl w:val="0"/>
          <w:numId w:val="2"/>
        </w:numPr>
      </w:pPr>
      <w:bookmarkStart w:id="19" w:name="_Toc304463195"/>
      <w:bookmarkStart w:id="20" w:name="_Toc387306702"/>
      <w:r w:rsidRPr="00DD6D2E">
        <w:t>Equipment</w:t>
      </w:r>
      <w:bookmarkEnd w:id="19"/>
      <w:bookmarkEnd w:id="20"/>
    </w:p>
    <w:p w:rsidR="00D66E11" w:rsidRPr="00D66E11" w:rsidRDefault="00D66E11" w:rsidP="00D66E11"/>
    <w:tbl>
      <w:tblPr>
        <w:tblW w:w="10201" w:type="dxa"/>
        <w:jc w:val="center"/>
        <w:tblInd w:w="-23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91"/>
        <w:gridCol w:w="4187"/>
        <w:gridCol w:w="2916"/>
        <w:gridCol w:w="2507"/>
      </w:tblGrid>
      <w:tr w:rsidR="00F172A6" w:rsidRPr="00D33207" w:rsidTr="005F4C86">
        <w:trPr>
          <w:jc w:val="center"/>
        </w:trPr>
        <w:tc>
          <w:tcPr>
            <w:tcW w:w="10201" w:type="dxa"/>
            <w:gridSpan w:val="4"/>
            <w:shd w:val="clear" w:color="auto" w:fill="FFFFCC"/>
          </w:tcPr>
          <w:p w:rsidR="00F172A6" w:rsidRPr="00D33207" w:rsidRDefault="00F172A6" w:rsidP="00C64E57">
            <w:pPr>
              <w:pStyle w:val="TableTitles"/>
            </w:pPr>
            <w:r w:rsidRPr="00D33207">
              <w:t>T</w:t>
            </w:r>
            <w:r>
              <w:t>est Equipment Used</w:t>
            </w:r>
            <w:r w:rsidRPr="00D33207">
              <w:t>:</w:t>
            </w:r>
          </w:p>
        </w:tc>
      </w:tr>
      <w:tr w:rsidR="00F172A6" w:rsidRPr="00D33207" w:rsidTr="005F4C86">
        <w:trPr>
          <w:jc w:val="center"/>
        </w:trPr>
        <w:tc>
          <w:tcPr>
            <w:tcW w:w="591" w:type="dxa"/>
            <w:vAlign w:val="center"/>
          </w:tcPr>
          <w:p w:rsidR="00F172A6" w:rsidRPr="00805376" w:rsidRDefault="00F172A6" w:rsidP="005F4C86">
            <w:pPr>
              <w:overflowPunct w:val="0"/>
              <w:autoSpaceDE w:val="0"/>
              <w:autoSpaceDN w:val="0"/>
              <w:adjustRightInd w:val="0"/>
              <w:jc w:val="center"/>
              <w:textAlignment w:val="baseline"/>
              <w:rPr>
                <w:rFonts w:ascii="Arial" w:hAnsi="Arial" w:cs="Arial"/>
                <w:sz w:val="20"/>
              </w:rPr>
            </w:pPr>
            <w:r w:rsidRPr="00805376">
              <w:rPr>
                <w:rFonts w:ascii="Arial" w:hAnsi="Arial" w:cs="Arial"/>
                <w:sz w:val="20"/>
              </w:rPr>
              <w:t>Qty</w:t>
            </w:r>
          </w:p>
        </w:tc>
        <w:tc>
          <w:tcPr>
            <w:tcW w:w="4187" w:type="dxa"/>
            <w:vAlign w:val="center"/>
          </w:tcPr>
          <w:p w:rsidR="00F172A6" w:rsidRPr="00805376" w:rsidRDefault="00F172A6" w:rsidP="005F4C86">
            <w:pPr>
              <w:overflowPunct w:val="0"/>
              <w:autoSpaceDE w:val="0"/>
              <w:autoSpaceDN w:val="0"/>
              <w:adjustRightInd w:val="0"/>
              <w:jc w:val="center"/>
              <w:textAlignment w:val="baseline"/>
              <w:rPr>
                <w:rFonts w:ascii="Arial" w:hAnsi="Arial" w:cs="Arial"/>
                <w:sz w:val="20"/>
              </w:rPr>
            </w:pPr>
            <w:r w:rsidRPr="00805376">
              <w:rPr>
                <w:rFonts w:ascii="Arial" w:hAnsi="Arial" w:cs="Arial"/>
                <w:sz w:val="20"/>
              </w:rPr>
              <w:t>Description</w:t>
            </w:r>
          </w:p>
        </w:tc>
        <w:tc>
          <w:tcPr>
            <w:tcW w:w="2916" w:type="dxa"/>
            <w:vAlign w:val="center"/>
          </w:tcPr>
          <w:p w:rsidR="00F172A6" w:rsidRPr="00805376" w:rsidRDefault="00F172A6" w:rsidP="005F4C86">
            <w:pPr>
              <w:overflowPunct w:val="0"/>
              <w:autoSpaceDE w:val="0"/>
              <w:autoSpaceDN w:val="0"/>
              <w:adjustRightInd w:val="0"/>
              <w:jc w:val="center"/>
              <w:textAlignment w:val="baseline"/>
              <w:rPr>
                <w:rFonts w:ascii="Arial" w:hAnsi="Arial" w:cs="Arial"/>
                <w:sz w:val="20"/>
              </w:rPr>
            </w:pPr>
            <w:r w:rsidRPr="00805376">
              <w:rPr>
                <w:rFonts w:ascii="Arial" w:hAnsi="Arial" w:cs="Arial"/>
                <w:sz w:val="20"/>
              </w:rPr>
              <w:t xml:space="preserve">Waters Calibration ID # </w:t>
            </w:r>
          </w:p>
        </w:tc>
        <w:tc>
          <w:tcPr>
            <w:tcW w:w="2507" w:type="dxa"/>
            <w:vAlign w:val="center"/>
          </w:tcPr>
          <w:p w:rsidR="00F172A6" w:rsidRPr="00805376" w:rsidRDefault="00F172A6" w:rsidP="005F4C86">
            <w:pPr>
              <w:overflowPunct w:val="0"/>
              <w:autoSpaceDE w:val="0"/>
              <w:autoSpaceDN w:val="0"/>
              <w:adjustRightInd w:val="0"/>
              <w:jc w:val="center"/>
              <w:textAlignment w:val="baseline"/>
              <w:rPr>
                <w:rFonts w:ascii="Arial" w:hAnsi="Arial" w:cs="Arial"/>
                <w:sz w:val="20"/>
              </w:rPr>
            </w:pPr>
            <w:r w:rsidRPr="00805376">
              <w:rPr>
                <w:rFonts w:ascii="Arial" w:hAnsi="Arial" w:cs="Arial"/>
                <w:sz w:val="20"/>
              </w:rPr>
              <w:t>Calibration Due Date</w:t>
            </w:r>
          </w:p>
        </w:tc>
      </w:tr>
      <w:tr w:rsidR="00172871" w:rsidRPr="00D33207" w:rsidTr="005F4C86">
        <w:trPr>
          <w:jc w:val="center"/>
        </w:trPr>
        <w:tc>
          <w:tcPr>
            <w:tcW w:w="591" w:type="dxa"/>
          </w:tcPr>
          <w:p w:rsidR="00172871" w:rsidRPr="00D33207" w:rsidRDefault="00172871" w:rsidP="00B753DB">
            <w:pPr>
              <w:overflowPunct w:val="0"/>
              <w:autoSpaceDE w:val="0"/>
              <w:autoSpaceDN w:val="0"/>
              <w:adjustRightInd w:val="0"/>
              <w:jc w:val="center"/>
              <w:textAlignment w:val="baseline"/>
              <w:rPr>
                <w:rFonts w:ascii="Arial" w:hAnsi="Arial" w:cs="Arial"/>
                <w:szCs w:val="24"/>
              </w:rPr>
            </w:pPr>
            <w:r>
              <w:rPr>
                <w:rFonts w:ascii="Arial" w:hAnsi="Arial" w:cs="Arial"/>
                <w:szCs w:val="24"/>
              </w:rPr>
              <w:t>1</w:t>
            </w:r>
          </w:p>
        </w:tc>
        <w:tc>
          <w:tcPr>
            <w:tcW w:w="4187" w:type="dxa"/>
          </w:tcPr>
          <w:p w:rsidR="00172871" w:rsidRPr="00D33207" w:rsidRDefault="00A108E9" w:rsidP="00D845B9">
            <w:pPr>
              <w:overflowPunct w:val="0"/>
              <w:autoSpaceDE w:val="0"/>
              <w:autoSpaceDN w:val="0"/>
              <w:adjustRightInd w:val="0"/>
              <w:jc w:val="center"/>
              <w:textAlignment w:val="baseline"/>
              <w:rPr>
                <w:rFonts w:ascii="Arial" w:hAnsi="Arial" w:cs="Arial"/>
                <w:szCs w:val="24"/>
              </w:rPr>
            </w:pPr>
            <w:r>
              <w:rPr>
                <w:rFonts w:ascii="Arial" w:hAnsi="Arial" w:cs="Arial"/>
                <w:szCs w:val="24"/>
              </w:rPr>
              <w:t>Thermometer: OMEGA HH</w:t>
            </w:r>
            <w:r w:rsidR="00D845B9">
              <w:rPr>
                <w:rFonts w:ascii="Arial" w:hAnsi="Arial" w:cs="Arial"/>
                <w:szCs w:val="24"/>
              </w:rPr>
              <w:t>12</w:t>
            </w:r>
            <w:r>
              <w:rPr>
                <w:rFonts w:ascii="Arial" w:hAnsi="Arial" w:cs="Arial"/>
                <w:szCs w:val="24"/>
              </w:rPr>
              <w:t xml:space="preserve"> with Thermocouple type K</w:t>
            </w:r>
          </w:p>
        </w:tc>
        <w:tc>
          <w:tcPr>
            <w:tcW w:w="2916" w:type="dxa"/>
          </w:tcPr>
          <w:p w:rsidR="00172871" w:rsidRPr="00D33207" w:rsidRDefault="00A108E9" w:rsidP="00D845B9">
            <w:pPr>
              <w:overflowPunct w:val="0"/>
              <w:autoSpaceDE w:val="0"/>
              <w:autoSpaceDN w:val="0"/>
              <w:adjustRightInd w:val="0"/>
              <w:jc w:val="center"/>
              <w:textAlignment w:val="baseline"/>
              <w:rPr>
                <w:rFonts w:ascii="Arial" w:hAnsi="Arial" w:cs="Arial"/>
                <w:szCs w:val="24"/>
              </w:rPr>
            </w:pPr>
            <w:r>
              <w:rPr>
                <w:rFonts w:ascii="Arial" w:hAnsi="Arial" w:cs="Arial"/>
                <w:szCs w:val="24"/>
              </w:rPr>
              <w:t>91</w:t>
            </w:r>
            <w:r w:rsidR="00D845B9">
              <w:rPr>
                <w:rFonts w:ascii="Arial" w:hAnsi="Arial" w:cs="Arial"/>
                <w:szCs w:val="24"/>
              </w:rPr>
              <w:t>768</w:t>
            </w:r>
          </w:p>
        </w:tc>
        <w:tc>
          <w:tcPr>
            <w:tcW w:w="2507" w:type="dxa"/>
          </w:tcPr>
          <w:p w:rsidR="00172871" w:rsidRPr="00D33207" w:rsidRDefault="00D845B9" w:rsidP="00D845B9">
            <w:pPr>
              <w:overflowPunct w:val="0"/>
              <w:autoSpaceDE w:val="0"/>
              <w:autoSpaceDN w:val="0"/>
              <w:adjustRightInd w:val="0"/>
              <w:jc w:val="center"/>
              <w:textAlignment w:val="baseline"/>
              <w:rPr>
                <w:rFonts w:ascii="Arial" w:hAnsi="Arial" w:cs="Arial"/>
                <w:szCs w:val="24"/>
              </w:rPr>
            </w:pPr>
            <w:r>
              <w:rPr>
                <w:rFonts w:ascii="Arial" w:hAnsi="Arial" w:cs="Arial"/>
                <w:szCs w:val="24"/>
              </w:rPr>
              <w:t xml:space="preserve">Feb </w:t>
            </w:r>
            <w:r w:rsidR="00A108E9">
              <w:rPr>
                <w:rFonts w:ascii="Arial" w:hAnsi="Arial" w:cs="Arial"/>
                <w:szCs w:val="24"/>
              </w:rPr>
              <w:t>2</w:t>
            </w:r>
            <w:r>
              <w:rPr>
                <w:rFonts w:ascii="Arial" w:hAnsi="Arial" w:cs="Arial"/>
                <w:szCs w:val="24"/>
              </w:rPr>
              <w:t xml:space="preserve">4, </w:t>
            </w:r>
            <w:r w:rsidR="00A108E9">
              <w:rPr>
                <w:rFonts w:ascii="Arial" w:hAnsi="Arial" w:cs="Arial"/>
                <w:szCs w:val="24"/>
              </w:rPr>
              <w:t>201</w:t>
            </w:r>
            <w:r>
              <w:rPr>
                <w:rFonts w:ascii="Arial" w:hAnsi="Arial" w:cs="Arial"/>
                <w:szCs w:val="24"/>
              </w:rPr>
              <w:t>5</w:t>
            </w:r>
          </w:p>
        </w:tc>
      </w:tr>
      <w:tr w:rsidR="00616D41" w:rsidRPr="00D33207" w:rsidTr="005F4C86">
        <w:trPr>
          <w:jc w:val="center"/>
        </w:trPr>
        <w:tc>
          <w:tcPr>
            <w:tcW w:w="591" w:type="dxa"/>
          </w:tcPr>
          <w:p w:rsidR="00616D41" w:rsidRDefault="00616D41" w:rsidP="00B753DB">
            <w:pPr>
              <w:overflowPunct w:val="0"/>
              <w:autoSpaceDE w:val="0"/>
              <w:autoSpaceDN w:val="0"/>
              <w:adjustRightInd w:val="0"/>
              <w:jc w:val="center"/>
              <w:textAlignment w:val="baseline"/>
              <w:rPr>
                <w:rFonts w:ascii="Arial" w:hAnsi="Arial" w:cs="Arial"/>
                <w:szCs w:val="24"/>
              </w:rPr>
            </w:pPr>
            <w:r>
              <w:rPr>
                <w:rFonts w:ascii="Arial" w:hAnsi="Arial" w:cs="Arial"/>
                <w:szCs w:val="24"/>
              </w:rPr>
              <w:lastRenderedPageBreak/>
              <w:t>1</w:t>
            </w:r>
          </w:p>
        </w:tc>
        <w:tc>
          <w:tcPr>
            <w:tcW w:w="4187" w:type="dxa"/>
          </w:tcPr>
          <w:p w:rsidR="00616D41" w:rsidRDefault="00A108E9" w:rsidP="00B753DB">
            <w:pPr>
              <w:overflowPunct w:val="0"/>
              <w:autoSpaceDE w:val="0"/>
              <w:autoSpaceDN w:val="0"/>
              <w:adjustRightInd w:val="0"/>
              <w:jc w:val="center"/>
              <w:textAlignment w:val="baseline"/>
              <w:rPr>
                <w:rFonts w:ascii="Arial" w:hAnsi="Arial" w:cs="Arial"/>
                <w:szCs w:val="24"/>
              </w:rPr>
            </w:pPr>
            <w:r>
              <w:rPr>
                <w:rFonts w:ascii="Arial" w:hAnsi="Arial" w:cs="Arial"/>
                <w:szCs w:val="24"/>
              </w:rPr>
              <w:t>Ammeter: EXTECH 380942</w:t>
            </w:r>
          </w:p>
        </w:tc>
        <w:tc>
          <w:tcPr>
            <w:tcW w:w="2916" w:type="dxa"/>
          </w:tcPr>
          <w:p w:rsidR="00616D41" w:rsidRDefault="00A108E9" w:rsidP="00B753DB">
            <w:pPr>
              <w:overflowPunct w:val="0"/>
              <w:autoSpaceDE w:val="0"/>
              <w:autoSpaceDN w:val="0"/>
              <w:adjustRightInd w:val="0"/>
              <w:jc w:val="center"/>
              <w:textAlignment w:val="baseline"/>
              <w:rPr>
                <w:rFonts w:ascii="Arial" w:hAnsi="Arial" w:cs="Arial"/>
                <w:szCs w:val="24"/>
              </w:rPr>
            </w:pPr>
            <w:r>
              <w:rPr>
                <w:rFonts w:ascii="Arial" w:hAnsi="Arial" w:cs="Arial"/>
                <w:szCs w:val="24"/>
              </w:rPr>
              <w:t>93252</w:t>
            </w:r>
          </w:p>
        </w:tc>
        <w:tc>
          <w:tcPr>
            <w:tcW w:w="2507" w:type="dxa"/>
          </w:tcPr>
          <w:p w:rsidR="00A108E9" w:rsidRPr="00D33207" w:rsidRDefault="00D845B9" w:rsidP="00D845B9">
            <w:pPr>
              <w:overflowPunct w:val="0"/>
              <w:autoSpaceDE w:val="0"/>
              <w:autoSpaceDN w:val="0"/>
              <w:adjustRightInd w:val="0"/>
              <w:jc w:val="center"/>
              <w:textAlignment w:val="baseline"/>
              <w:rPr>
                <w:rFonts w:ascii="Arial" w:hAnsi="Arial" w:cs="Arial"/>
                <w:szCs w:val="24"/>
              </w:rPr>
            </w:pPr>
            <w:r>
              <w:rPr>
                <w:rFonts w:ascii="Arial" w:hAnsi="Arial" w:cs="Arial"/>
                <w:szCs w:val="24"/>
              </w:rPr>
              <w:t xml:space="preserve">April 29, </w:t>
            </w:r>
            <w:r w:rsidR="00A108E9">
              <w:rPr>
                <w:rFonts w:ascii="Arial" w:hAnsi="Arial" w:cs="Arial"/>
                <w:szCs w:val="24"/>
              </w:rPr>
              <w:t>201</w:t>
            </w:r>
            <w:r>
              <w:rPr>
                <w:rFonts w:ascii="Arial" w:hAnsi="Arial" w:cs="Arial"/>
                <w:szCs w:val="24"/>
              </w:rPr>
              <w:t>5</w:t>
            </w:r>
          </w:p>
        </w:tc>
      </w:tr>
      <w:tr w:rsidR="00D845B9" w:rsidRPr="00D33207" w:rsidTr="005F4C86">
        <w:trPr>
          <w:jc w:val="center"/>
        </w:trPr>
        <w:tc>
          <w:tcPr>
            <w:tcW w:w="591" w:type="dxa"/>
          </w:tcPr>
          <w:p w:rsidR="00D845B9" w:rsidRDefault="00D845B9" w:rsidP="00B753DB">
            <w:pPr>
              <w:overflowPunct w:val="0"/>
              <w:autoSpaceDE w:val="0"/>
              <w:autoSpaceDN w:val="0"/>
              <w:adjustRightInd w:val="0"/>
              <w:jc w:val="center"/>
              <w:textAlignment w:val="baseline"/>
              <w:rPr>
                <w:rFonts w:ascii="Arial" w:hAnsi="Arial" w:cs="Arial"/>
                <w:szCs w:val="24"/>
              </w:rPr>
            </w:pPr>
            <w:r>
              <w:rPr>
                <w:rFonts w:ascii="Arial" w:hAnsi="Arial" w:cs="Arial"/>
                <w:szCs w:val="24"/>
              </w:rPr>
              <w:t>1</w:t>
            </w:r>
          </w:p>
        </w:tc>
        <w:tc>
          <w:tcPr>
            <w:tcW w:w="4187" w:type="dxa"/>
          </w:tcPr>
          <w:p w:rsidR="00D845B9" w:rsidRDefault="00D845B9" w:rsidP="00B753DB">
            <w:pPr>
              <w:overflowPunct w:val="0"/>
              <w:autoSpaceDE w:val="0"/>
              <w:autoSpaceDN w:val="0"/>
              <w:adjustRightInd w:val="0"/>
              <w:jc w:val="center"/>
              <w:textAlignment w:val="baseline"/>
              <w:rPr>
                <w:rFonts w:ascii="Arial" w:hAnsi="Arial" w:cs="Arial"/>
                <w:szCs w:val="24"/>
              </w:rPr>
            </w:pPr>
            <w:r>
              <w:rPr>
                <w:rFonts w:ascii="Arial" w:hAnsi="Arial" w:cs="Arial"/>
                <w:szCs w:val="24"/>
              </w:rPr>
              <w:t>Multimeter: Fluke 87</w:t>
            </w:r>
          </w:p>
        </w:tc>
        <w:tc>
          <w:tcPr>
            <w:tcW w:w="2916" w:type="dxa"/>
          </w:tcPr>
          <w:p w:rsidR="00D845B9" w:rsidRDefault="00D845B9" w:rsidP="00B753DB">
            <w:pPr>
              <w:overflowPunct w:val="0"/>
              <w:autoSpaceDE w:val="0"/>
              <w:autoSpaceDN w:val="0"/>
              <w:adjustRightInd w:val="0"/>
              <w:jc w:val="center"/>
              <w:textAlignment w:val="baseline"/>
              <w:rPr>
                <w:rFonts w:ascii="Arial" w:hAnsi="Arial" w:cs="Arial"/>
                <w:szCs w:val="24"/>
              </w:rPr>
            </w:pPr>
            <w:r>
              <w:rPr>
                <w:rFonts w:ascii="Arial" w:hAnsi="Arial" w:cs="Arial"/>
                <w:szCs w:val="24"/>
              </w:rPr>
              <w:t>91422</w:t>
            </w:r>
          </w:p>
        </w:tc>
        <w:tc>
          <w:tcPr>
            <w:tcW w:w="2507" w:type="dxa"/>
          </w:tcPr>
          <w:p w:rsidR="00D845B9" w:rsidRDefault="00D845B9" w:rsidP="00D845B9">
            <w:pPr>
              <w:overflowPunct w:val="0"/>
              <w:autoSpaceDE w:val="0"/>
              <w:autoSpaceDN w:val="0"/>
              <w:adjustRightInd w:val="0"/>
              <w:jc w:val="center"/>
              <w:textAlignment w:val="baseline"/>
              <w:rPr>
                <w:rFonts w:ascii="Arial" w:hAnsi="Arial" w:cs="Arial"/>
                <w:szCs w:val="24"/>
              </w:rPr>
            </w:pPr>
            <w:r>
              <w:rPr>
                <w:rFonts w:ascii="Arial" w:hAnsi="Arial" w:cs="Arial"/>
                <w:szCs w:val="24"/>
              </w:rPr>
              <w:t>November 26, 2014</w:t>
            </w:r>
          </w:p>
        </w:tc>
      </w:tr>
    </w:tbl>
    <w:p w:rsidR="00F172A6" w:rsidRDefault="00F172A6" w:rsidP="00D845B9">
      <w:pPr>
        <w:pStyle w:val="Heading1"/>
        <w:numPr>
          <w:ilvl w:val="0"/>
          <w:numId w:val="2"/>
        </w:numPr>
      </w:pPr>
      <w:bookmarkStart w:id="21" w:name="_Toc304463196"/>
      <w:bookmarkStart w:id="22" w:name="_Toc387306703"/>
      <w:r w:rsidRPr="00DD6D2E">
        <w:t>Results</w:t>
      </w:r>
      <w:bookmarkEnd w:id="21"/>
      <w:r w:rsidRPr="00DD6D2E">
        <w:t xml:space="preserve"> and Discussion</w:t>
      </w:r>
      <w:bookmarkEnd w:id="22"/>
    </w:p>
    <w:p w:rsidR="001F1EBB" w:rsidRDefault="001F1EBB" w:rsidP="001F1EBB">
      <w:r>
        <w:t>The testing results are shown in</w:t>
      </w:r>
      <w:r w:rsidR="003B5AB8">
        <w:t xml:space="preserve"> </w:t>
      </w:r>
      <w:r w:rsidR="003B5AB8">
        <w:fldChar w:fldCharType="begin"/>
      </w:r>
      <w:r w:rsidR="003B5AB8">
        <w:instrText xml:space="preserve"> REF _Ref355869587 \h </w:instrText>
      </w:r>
      <w:r w:rsidR="003B5AB8">
        <w:fldChar w:fldCharType="separate"/>
      </w:r>
      <w:r w:rsidR="00A70300">
        <w:t xml:space="preserve">Table </w:t>
      </w:r>
      <w:r w:rsidR="00A70300">
        <w:rPr>
          <w:noProof/>
        </w:rPr>
        <w:t>1</w:t>
      </w:r>
      <w:r w:rsidR="003B5AB8">
        <w:fldChar w:fldCharType="end"/>
      </w:r>
      <w:r>
        <w:t>. Note that the original over temperature switch reclosed at a lower temperature than the new prop</w:t>
      </w:r>
      <w:r w:rsidR="00497954">
        <w:t>osed switch as expected. That is</w:t>
      </w:r>
      <w:r>
        <w:t xml:space="preserve"> acceptable since the </w:t>
      </w:r>
      <w:r w:rsidR="00BC65DD">
        <w:t>OTS</w:t>
      </w:r>
      <w:r>
        <w:t xml:space="preserve"> is used as </w:t>
      </w:r>
      <w:r w:rsidR="00BC65DD">
        <w:t xml:space="preserve">a </w:t>
      </w:r>
      <w:r>
        <w:t>safety switch to open at the upper limit (80</w:t>
      </w:r>
      <w:r>
        <w:rPr>
          <w:rFonts w:ascii="Arial" w:hAnsi="Arial" w:cs="Arial"/>
        </w:rPr>
        <w:t>°</w:t>
      </w:r>
      <w:r>
        <w:t>C).</w:t>
      </w:r>
      <w:r w:rsidR="00497954">
        <w:t xml:space="preserve"> The </w:t>
      </w:r>
      <w:r w:rsidR="00BC65DD">
        <w:t xml:space="preserve">reclose </w:t>
      </w:r>
      <w:r w:rsidR="00497954">
        <w:t xml:space="preserve">temperature setting of the thermostat is not critical since the instrument is in failure mode when the </w:t>
      </w:r>
      <w:r w:rsidR="00BC65DD">
        <w:t>OTS opens</w:t>
      </w:r>
      <w:r w:rsidR="00497954">
        <w:t xml:space="preserve">. </w:t>
      </w:r>
      <w:r>
        <w:t xml:space="preserve"> </w:t>
      </w:r>
    </w:p>
    <w:p w:rsidR="00CF23BB" w:rsidRDefault="00CF23BB" w:rsidP="001F1EBB"/>
    <w:p w:rsidR="004E4EB0" w:rsidRDefault="00E31834" w:rsidP="001F1EBB">
      <w:r>
        <w:rPr>
          <w:noProof/>
          <w:lang w:val="en-SG" w:eastAsia="zh-CN"/>
        </w:rPr>
        <w:drawing>
          <wp:inline distT="0" distB="0" distL="0" distR="0">
            <wp:extent cx="7315200" cy="29229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315200" cy="2922905"/>
                    </a:xfrm>
                    <a:prstGeom prst="rect">
                      <a:avLst/>
                    </a:prstGeom>
                    <a:noFill/>
                    <a:ln>
                      <a:noFill/>
                    </a:ln>
                  </pic:spPr>
                </pic:pic>
              </a:graphicData>
            </a:graphic>
          </wp:inline>
        </w:drawing>
      </w:r>
    </w:p>
    <w:p w:rsidR="001F1EBB" w:rsidRDefault="00CF23BB" w:rsidP="00CF23BB">
      <w:pPr>
        <w:pStyle w:val="Caption"/>
      </w:pPr>
      <w:bookmarkStart w:id="23" w:name="_Ref355869587"/>
      <w:r>
        <w:t xml:space="preserve">Table </w:t>
      </w:r>
      <w:r w:rsidR="00E5676F">
        <w:fldChar w:fldCharType="begin"/>
      </w:r>
      <w:r w:rsidR="00E5676F">
        <w:instrText xml:space="preserve"> SEQ Table \* ARABIC </w:instrText>
      </w:r>
      <w:r w:rsidR="00E5676F">
        <w:fldChar w:fldCharType="separate"/>
      </w:r>
      <w:r w:rsidR="00A70300">
        <w:rPr>
          <w:noProof/>
        </w:rPr>
        <w:t>1</w:t>
      </w:r>
      <w:r w:rsidR="00E5676F">
        <w:rPr>
          <w:noProof/>
        </w:rPr>
        <w:fldChar w:fldCharType="end"/>
      </w:r>
      <w:bookmarkEnd w:id="23"/>
      <w:r>
        <w:t>- Testing Results</w:t>
      </w:r>
    </w:p>
    <w:p w:rsidR="004E4EB0" w:rsidRDefault="004E4EB0" w:rsidP="001F1EBB"/>
    <w:tbl>
      <w:tblPr>
        <w:tblW w:w="5600" w:type="dxa"/>
        <w:jc w:val="center"/>
        <w:tblInd w:w="93" w:type="dxa"/>
        <w:tblLook w:val="04A0" w:firstRow="1" w:lastRow="0" w:firstColumn="1" w:lastColumn="0" w:noHBand="0" w:noVBand="1"/>
      </w:tblPr>
      <w:tblGrid>
        <w:gridCol w:w="2720"/>
        <w:gridCol w:w="960"/>
        <w:gridCol w:w="960"/>
        <w:gridCol w:w="960"/>
      </w:tblGrid>
      <w:tr w:rsidR="004E4EB0" w:rsidRPr="004E4EB0" w:rsidTr="004E4EB0">
        <w:trPr>
          <w:trHeight w:val="300"/>
          <w:jc w:val="center"/>
        </w:trPr>
        <w:tc>
          <w:tcPr>
            <w:tcW w:w="2720" w:type="dxa"/>
            <w:tcBorders>
              <w:top w:val="nil"/>
              <w:left w:val="nil"/>
              <w:bottom w:val="single" w:sz="12" w:space="0" w:color="FFFFFF"/>
              <w:right w:val="single" w:sz="4" w:space="0" w:color="FFFFFF"/>
            </w:tcBorders>
            <w:shd w:val="clear" w:color="4F81BD" w:fill="4F81BD"/>
            <w:noWrap/>
            <w:vAlign w:val="bottom"/>
            <w:hideMark/>
          </w:tcPr>
          <w:p w:rsidR="004E4EB0" w:rsidRPr="004E4EB0" w:rsidRDefault="004E4EB0" w:rsidP="004E4EB0">
            <w:pPr>
              <w:rPr>
                <w:rFonts w:ascii="Calibri" w:hAnsi="Calibri"/>
                <w:b/>
                <w:bCs/>
                <w:color w:val="FFFFFF"/>
                <w:sz w:val="22"/>
                <w:szCs w:val="22"/>
              </w:rPr>
            </w:pPr>
            <w:r w:rsidRPr="004E4EB0">
              <w:rPr>
                <w:rFonts w:ascii="Calibri" w:hAnsi="Calibri"/>
                <w:b/>
                <w:bCs/>
                <w:color w:val="FFFFFF"/>
                <w:sz w:val="22"/>
                <w:szCs w:val="22"/>
              </w:rPr>
              <w:t>SUMMARY</w:t>
            </w:r>
          </w:p>
        </w:tc>
        <w:tc>
          <w:tcPr>
            <w:tcW w:w="960" w:type="dxa"/>
            <w:tcBorders>
              <w:top w:val="nil"/>
              <w:left w:val="single" w:sz="4" w:space="0" w:color="FFFFFF"/>
              <w:bottom w:val="single" w:sz="12" w:space="0" w:color="FFFFFF"/>
              <w:right w:val="single" w:sz="4" w:space="0" w:color="FFFFFF"/>
            </w:tcBorders>
            <w:shd w:val="clear" w:color="4F81BD" w:fill="4F81BD"/>
            <w:noWrap/>
            <w:vAlign w:val="center"/>
            <w:hideMark/>
          </w:tcPr>
          <w:p w:rsidR="004E4EB0" w:rsidRPr="004E4EB0" w:rsidRDefault="004E4EB0" w:rsidP="004E4EB0">
            <w:pPr>
              <w:jc w:val="center"/>
              <w:rPr>
                <w:rFonts w:ascii="Calibri" w:hAnsi="Calibri"/>
                <w:b/>
                <w:bCs/>
                <w:color w:val="FFFFFF"/>
                <w:sz w:val="22"/>
                <w:szCs w:val="22"/>
              </w:rPr>
            </w:pPr>
            <w:r w:rsidRPr="004E4EB0">
              <w:rPr>
                <w:rFonts w:ascii="Calibri" w:hAnsi="Calibri"/>
                <w:b/>
                <w:bCs/>
                <w:color w:val="FFFFFF"/>
                <w:sz w:val="22"/>
                <w:szCs w:val="22"/>
              </w:rPr>
              <w:t>SM1</w:t>
            </w:r>
          </w:p>
        </w:tc>
        <w:tc>
          <w:tcPr>
            <w:tcW w:w="960" w:type="dxa"/>
            <w:tcBorders>
              <w:top w:val="nil"/>
              <w:left w:val="single" w:sz="4" w:space="0" w:color="FFFFFF"/>
              <w:bottom w:val="single" w:sz="12" w:space="0" w:color="FFFFFF"/>
              <w:right w:val="single" w:sz="4" w:space="0" w:color="FFFFFF"/>
            </w:tcBorders>
            <w:shd w:val="clear" w:color="4F81BD" w:fill="4F81BD"/>
            <w:noWrap/>
            <w:vAlign w:val="center"/>
            <w:hideMark/>
          </w:tcPr>
          <w:p w:rsidR="004E4EB0" w:rsidRPr="004E4EB0" w:rsidRDefault="004E4EB0" w:rsidP="004E4EB0">
            <w:pPr>
              <w:jc w:val="center"/>
              <w:rPr>
                <w:rFonts w:ascii="Calibri" w:hAnsi="Calibri"/>
                <w:b/>
                <w:bCs/>
                <w:color w:val="FFFFFF"/>
                <w:sz w:val="22"/>
                <w:szCs w:val="22"/>
              </w:rPr>
            </w:pPr>
            <w:r w:rsidRPr="004E4EB0">
              <w:rPr>
                <w:rFonts w:ascii="Calibri" w:hAnsi="Calibri"/>
                <w:b/>
                <w:bCs/>
                <w:color w:val="FFFFFF"/>
                <w:sz w:val="22"/>
                <w:szCs w:val="22"/>
              </w:rPr>
              <w:t>SM2</w:t>
            </w:r>
          </w:p>
        </w:tc>
        <w:tc>
          <w:tcPr>
            <w:tcW w:w="960" w:type="dxa"/>
            <w:tcBorders>
              <w:top w:val="nil"/>
              <w:left w:val="single" w:sz="4" w:space="0" w:color="FFFFFF"/>
              <w:bottom w:val="single" w:sz="12" w:space="0" w:color="FFFFFF"/>
              <w:right w:val="nil"/>
            </w:tcBorders>
            <w:shd w:val="clear" w:color="4F81BD" w:fill="4F81BD"/>
            <w:noWrap/>
            <w:vAlign w:val="center"/>
            <w:hideMark/>
          </w:tcPr>
          <w:p w:rsidR="004E4EB0" w:rsidRPr="004E4EB0" w:rsidRDefault="004E4EB0" w:rsidP="004E4EB0">
            <w:pPr>
              <w:jc w:val="center"/>
              <w:rPr>
                <w:rFonts w:ascii="Calibri" w:hAnsi="Calibri"/>
                <w:b/>
                <w:bCs/>
                <w:color w:val="FFFFFF"/>
                <w:sz w:val="22"/>
                <w:szCs w:val="22"/>
              </w:rPr>
            </w:pPr>
            <w:r w:rsidRPr="004E4EB0">
              <w:rPr>
                <w:rFonts w:ascii="Calibri" w:hAnsi="Calibri"/>
                <w:b/>
                <w:bCs/>
                <w:color w:val="FFFFFF"/>
                <w:sz w:val="22"/>
                <w:szCs w:val="22"/>
              </w:rPr>
              <w:t>ORIG</w:t>
            </w:r>
          </w:p>
        </w:tc>
      </w:tr>
      <w:tr w:rsidR="004E4EB0" w:rsidRPr="004E4EB0" w:rsidTr="004E4EB0">
        <w:trPr>
          <w:trHeight w:val="300"/>
          <w:jc w:val="center"/>
        </w:trPr>
        <w:tc>
          <w:tcPr>
            <w:tcW w:w="2720" w:type="dxa"/>
            <w:tcBorders>
              <w:top w:val="single" w:sz="4" w:space="0" w:color="FFFFFF"/>
              <w:left w:val="nil"/>
              <w:bottom w:val="single" w:sz="4" w:space="0" w:color="FFFFFF"/>
              <w:right w:val="single" w:sz="4" w:space="0" w:color="FFFFFF"/>
            </w:tcBorders>
            <w:shd w:val="clear" w:color="B8CCE4" w:fill="B8CCE4"/>
            <w:noWrap/>
            <w:vAlign w:val="center"/>
            <w:hideMark/>
          </w:tcPr>
          <w:p w:rsidR="004E4EB0" w:rsidRPr="004E4EB0" w:rsidRDefault="004E4EB0" w:rsidP="004E4EB0">
            <w:pPr>
              <w:rPr>
                <w:rFonts w:ascii="Calibri" w:hAnsi="Calibri"/>
                <w:color w:val="000000"/>
                <w:sz w:val="22"/>
                <w:szCs w:val="22"/>
              </w:rPr>
            </w:pPr>
            <w:r w:rsidRPr="004E4EB0">
              <w:rPr>
                <w:rFonts w:ascii="Calibri" w:hAnsi="Calibri"/>
                <w:color w:val="000000"/>
                <w:sz w:val="22"/>
                <w:szCs w:val="22"/>
              </w:rPr>
              <w:t>Avg Open of 5 Samples (</w:t>
            </w:r>
            <w:r w:rsidRPr="004E4EB0">
              <w:rPr>
                <w:rFonts w:ascii="Arial" w:hAnsi="Arial" w:cs="Arial"/>
                <w:color w:val="000000"/>
                <w:sz w:val="22"/>
                <w:szCs w:val="22"/>
              </w:rPr>
              <w:t>°C)</w:t>
            </w:r>
          </w:p>
        </w:tc>
        <w:tc>
          <w:tcPr>
            <w:tcW w:w="960" w:type="dxa"/>
            <w:tcBorders>
              <w:top w:val="single" w:sz="4" w:space="0" w:color="FFFFFF"/>
              <w:left w:val="single" w:sz="4" w:space="0" w:color="FFFFFF"/>
              <w:bottom w:val="single" w:sz="4" w:space="0" w:color="FFFFFF"/>
              <w:right w:val="single" w:sz="4" w:space="0" w:color="FFFFFF"/>
            </w:tcBorders>
            <w:shd w:val="clear" w:color="B8CCE4" w:fill="B8CCE4"/>
            <w:noWrap/>
            <w:vAlign w:val="center"/>
            <w:hideMark/>
          </w:tcPr>
          <w:p w:rsidR="004E4EB0" w:rsidRPr="004E4EB0" w:rsidRDefault="004E4EB0" w:rsidP="004E4EB0">
            <w:pPr>
              <w:jc w:val="center"/>
              <w:rPr>
                <w:rFonts w:ascii="Calibri" w:hAnsi="Calibri"/>
                <w:color w:val="000000"/>
                <w:sz w:val="22"/>
                <w:szCs w:val="22"/>
              </w:rPr>
            </w:pPr>
            <w:r w:rsidRPr="004E4EB0">
              <w:rPr>
                <w:rFonts w:ascii="Calibri" w:hAnsi="Calibri"/>
                <w:color w:val="000000"/>
                <w:sz w:val="22"/>
                <w:szCs w:val="22"/>
              </w:rPr>
              <w:t>82.4</w:t>
            </w:r>
          </w:p>
        </w:tc>
        <w:tc>
          <w:tcPr>
            <w:tcW w:w="960" w:type="dxa"/>
            <w:tcBorders>
              <w:top w:val="single" w:sz="4" w:space="0" w:color="FFFFFF"/>
              <w:left w:val="single" w:sz="4" w:space="0" w:color="FFFFFF"/>
              <w:bottom w:val="single" w:sz="4" w:space="0" w:color="FFFFFF"/>
              <w:right w:val="single" w:sz="4" w:space="0" w:color="FFFFFF"/>
            </w:tcBorders>
            <w:shd w:val="clear" w:color="B8CCE4" w:fill="B8CCE4"/>
            <w:noWrap/>
            <w:vAlign w:val="center"/>
            <w:hideMark/>
          </w:tcPr>
          <w:p w:rsidR="004E4EB0" w:rsidRPr="004E4EB0" w:rsidRDefault="004E4EB0" w:rsidP="004E4EB0">
            <w:pPr>
              <w:jc w:val="center"/>
              <w:rPr>
                <w:rFonts w:ascii="Calibri" w:hAnsi="Calibri"/>
                <w:color w:val="000000"/>
                <w:sz w:val="22"/>
                <w:szCs w:val="22"/>
              </w:rPr>
            </w:pPr>
            <w:r w:rsidRPr="004E4EB0">
              <w:rPr>
                <w:rFonts w:ascii="Calibri" w:hAnsi="Calibri"/>
                <w:color w:val="000000"/>
                <w:sz w:val="22"/>
                <w:szCs w:val="22"/>
              </w:rPr>
              <w:t>83.6</w:t>
            </w:r>
          </w:p>
        </w:tc>
        <w:tc>
          <w:tcPr>
            <w:tcW w:w="960" w:type="dxa"/>
            <w:tcBorders>
              <w:top w:val="single" w:sz="4" w:space="0" w:color="FFFFFF"/>
              <w:left w:val="single" w:sz="4" w:space="0" w:color="FFFFFF"/>
              <w:bottom w:val="single" w:sz="4" w:space="0" w:color="FFFFFF"/>
              <w:right w:val="nil"/>
            </w:tcBorders>
            <w:shd w:val="clear" w:color="B8CCE4" w:fill="B8CCE4"/>
            <w:noWrap/>
            <w:vAlign w:val="center"/>
            <w:hideMark/>
          </w:tcPr>
          <w:p w:rsidR="004E4EB0" w:rsidRPr="004E4EB0" w:rsidRDefault="004E4EB0" w:rsidP="004E4EB0">
            <w:pPr>
              <w:jc w:val="center"/>
              <w:rPr>
                <w:rFonts w:ascii="Calibri" w:hAnsi="Calibri"/>
                <w:color w:val="000000"/>
                <w:sz w:val="22"/>
                <w:szCs w:val="22"/>
              </w:rPr>
            </w:pPr>
            <w:r w:rsidRPr="004E4EB0">
              <w:rPr>
                <w:rFonts w:ascii="Calibri" w:hAnsi="Calibri"/>
                <w:color w:val="000000"/>
                <w:sz w:val="22"/>
                <w:szCs w:val="22"/>
              </w:rPr>
              <w:t>83.6</w:t>
            </w:r>
          </w:p>
        </w:tc>
      </w:tr>
      <w:tr w:rsidR="004E4EB0" w:rsidRPr="004E4EB0" w:rsidTr="004E4EB0">
        <w:trPr>
          <w:trHeight w:val="300"/>
          <w:jc w:val="center"/>
        </w:trPr>
        <w:tc>
          <w:tcPr>
            <w:tcW w:w="2720" w:type="dxa"/>
            <w:tcBorders>
              <w:top w:val="single" w:sz="4" w:space="0" w:color="FFFFFF"/>
              <w:left w:val="nil"/>
              <w:bottom w:val="single" w:sz="4" w:space="0" w:color="FFFFFF"/>
              <w:right w:val="single" w:sz="4" w:space="0" w:color="FFFFFF"/>
            </w:tcBorders>
            <w:shd w:val="clear" w:color="DCE6F1" w:fill="DCE6F1"/>
            <w:noWrap/>
            <w:vAlign w:val="center"/>
            <w:hideMark/>
          </w:tcPr>
          <w:p w:rsidR="004E4EB0" w:rsidRPr="004E4EB0" w:rsidRDefault="004E4EB0" w:rsidP="004E4EB0">
            <w:pPr>
              <w:rPr>
                <w:rFonts w:ascii="Calibri" w:hAnsi="Calibri"/>
                <w:color w:val="000000"/>
                <w:sz w:val="22"/>
                <w:szCs w:val="22"/>
              </w:rPr>
            </w:pPr>
            <w:r w:rsidRPr="004E4EB0">
              <w:rPr>
                <w:rFonts w:ascii="Calibri" w:hAnsi="Calibri"/>
                <w:color w:val="000000"/>
                <w:sz w:val="22"/>
                <w:szCs w:val="22"/>
              </w:rPr>
              <w:t>Avg Close of 5 Samples (°C)</w:t>
            </w:r>
          </w:p>
        </w:tc>
        <w:tc>
          <w:tcPr>
            <w:tcW w:w="960" w:type="dxa"/>
            <w:tcBorders>
              <w:top w:val="single" w:sz="4" w:space="0" w:color="FFFFFF"/>
              <w:left w:val="single" w:sz="4" w:space="0" w:color="FFFFFF"/>
              <w:bottom w:val="single" w:sz="4" w:space="0" w:color="FFFFFF"/>
              <w:right w:val="single" w:sz="4" w:space="0" w:color="FFFFFF"/>
            </w:tcBorders>
            <w:shd w:val="clear" w:color="DCE6F1" w:fill="DCE6F1"/>
            <w:noWrap/>
            <w:vAlign w:val="center"/>
            <w:hideMark/>
          </w:tcPr>
          <w:p w:rsidR="004E4EB0" w:rsidRPr="004E4EB0" w:rsidRDefault="004E4EB0" w:rsidP="004E4EB0">
            <w:pPr>
              <w:jc w:val="center"/>
              <w:rPr>
                <w:rFonts w:ascii="Calibri" w:hAnsi="Calibri"/>
                <w:color w:val="000000"/>
                <w:sz w:val="22"/>
                <w:szCs w:val="22"/>
              </w:rPr>
            </w:pPr>
            <w:r w:rsidRPr="004E4EB0">
              <w:rPr>
                <w:rFonts w:ascii="Calibri" w:hAnsi="Calibri"/>
                <w:color w:val="000000"/>
                <w:sz w:val="22"/>
                <w:szCs w:val="22"/>
              </w:rPr>
              <w:t>74.5</w:t>
            </w:r>
          </w:p>
        </w:tc>
        <w:tc>
          <w:tcPr>
            <w:tcW w:w="960" w:type="dxa"/>
            <w:tcBorders>
              <w:top w:val="single" w:sz="4" w:space="0" w:color="FFFFFF"/>
              <w:left w:val="single" w:sz="4" w:space="0" w:color="FFFFFF"/>
              <w:bottom w:val="single" w:sz="4" w:space="0" w:color="FFFFFF"/>
              <w:right w:val="single" w:sz="4" w:space="0" w:color="FFFFFF"/>
            </w:tcBorders>
            <w:shd w:val="clear" w:color="DCE6F1" w:fill="DCE6F1"/>
            <w:noWrap/>
            <w:vAlign w:val="center"/>
            <w:hideMark/>
          </w:tcPr>
          <w:p w:rsidR="004E4EB0" w:rsidRPr="004E4EB0" w:rsidRDefault="004E4EB0" w:rsidP="004E4EB0">
            <w:pPr>
              <w:jc w:val="center"/>
              <w:rPr>
                <w:rFonts w:ascii="Calibri" w:hAnsi="Calibri"/>
                <w:color w:val="000000"/>
                <w:sz w:val="22"/>
                <w:szCs w:val="22"/>
              </w:rPr>
            </w:pPr>
            <w:r w:rsidRPr="004E4EB0">
              <w:rPr>
                <w:rFonts w:ascii="Calibri" w:hAnsi="Calibri"/>
                <w:color w:val="000000"/>
                <w:sz w:val="22"/>
                <w:szCs w:val="22"/>
              </w:rPr>
              <w:t>75.5</w:t>
            </w:r>
          </w:p>
        </w:tc>
        <w:tc>
          <w:tcPr>
            <w:tcW w:w="960" w:type="dxa"/>
            <w:tcBorders>
              <w:top w:val="single" w:sz="4" w:space="0" w:color="FFFFFF"/>
              <w:left w:val="single" w:sz="4" w:space="0" w:color="FFFFFF"/>
              <w:bottom w:val="single" w:sz="4" w:space="0" w:color="FFFFFF"/>
              <w:right w:val="nil"/>
            </w:tcBorders>
            <w:shd w:val="clear" w:color="DCE6F1" w:fill="DCE6F1"/>
            <w:noWrap/>
            <w:vAlign w:val="center"/>
            <w:hideMark/>
          </w:tcPr>
          <w:p w:rsidR="004E4EB0" w:rsidRPr="004E4EB0" w:rsidRDefault="004E4EB0" w:rsidP="004E4EB0">
            <w:pPr>
              <w:jc w:val="center"/>
              <w:rPr>
                <w:rFonts w:ascii="Calibri" w:hAnsi="Calibri"/>
                <w:color w:val="000000"/>
                <w:sz w:val="22"/>
                <w:szCs w:val="22"/>
              </w:rPr>
            </w:pPr>
            <w:r w:rsidRPr="004E4EB0">
              <w:rPr>
                <w:rFonts w:ascii="Calibri" w:hAnsi="Calibri"/>
                <w:color w:val="000000"/>
                <w:sz w:val="22"/>
                <w:szCs w:val="22"/>
              </w:rPr>
              <w:t>60.6</w:t>
            </w:r>
          </w:p>
        </w:tc>
      </w:tr>
      <w:tr w:rsidR="004E4EB0" w:rsidRPr="004E4EB0" w:rsidTr="004E4EB0">
        <w:trPr>
          <w:trHeight w:val="300"/>
          <w:jc w:val="center"/>
        </w:trPr>
        <w:tc>
          <w:tcPr>
            <w:tcW w:w="2720" w:type="dxa"/>
            <w:tcBorders>
              <w:top w:val="single" w:sz="4" w:space="0" w:color="FFFFFF"/>
              <w:left w:val="nil"/>
              <w:bottom w:val="single" w:sz="4" w:space="0" w:color="FFFFFF"/>
              <w:right w:val="single" w:sz="4" w:space="0" w:color="FFFFFF"/>
            </w:tcBorders>
            <w:shd w:val="clear" w:color="B8CCE4" w:fill="B8CCE4"/>
            <w:noWrap/>
            <w:vAlign w:val="center"/>
            <w:hideMark/>
          </w:tcPr>
          <w:p w:rsidR="004E4EB0" w:rsidRPr="004E4EB0" w:rsidRDefault="004E4EB0" w:rsidP="004E4EB0">
            <w:pPr>
              <w:rPr>
                <w:rFonts w:ascii="Calibri" w:hAnsi="Calibri"/>
                <w:color w:val="000000"/>
                <w:sz w:val="22"/>
                <w:szCs w:val="22"/>
              </w:rPr>
            </w:pPr>
            <w:r w:rsidRPr="004E4EB0">
              <w:rPr>
                <w:rFonts w:ascii="Calibri" w:hAnsi="Calibri"/>
                <w:color w:val="000000"/>
                <w:sz w:val="22"/>
                <w:szCs w:val="22"/>
              </w:rPr>
              <w:t>Avg Current (A)</w:t>
            </w:r>
          </w:p>
        </w:tc>
        <w:tc>
          <w:tcPr>
            <w:tcW w:w="960" w:type="dxa"/>
            <w:tcBorders>
              <w:top w:val="single" w:sz="4" w:space="0" w:color="FFFFFF"/>
              <w:left w:val="single" w:sz="4" w:space="0" w:color="FFFFFF"/>
              <w:bottom w:val="single" w:sz="4" w:space="0" w:color="FFFFFF"/>
              <w:right w:val="single" w:sz="4" w:space="0" w:color="FFFFFF"/>
            </w:tcBorders>
            <w:shd w:val="clear" w:color="B8CCE4" w:fill="B8CCE4"/>
            <w:noWrap/>
            <w:vAlign w:val="center"/>
            <w:hideMark/>
          </w:tcPr>
          <w:p w:rsidR="004E4EB0" w:rsidRPr="004E4EB0" w:rsidRDefault="004E4EB0" w:rsidP="004E4EB0">
            <w:pPr>
              <w:jc w:val="center"/>
              <w:rPr>
                <w:rFonts w:ascii="Calibri" w:hAnsi="Calibri"/>
                <w:color w:val="000000"/>
                <w:sz w:val="22"/>
                <w:szCs w:val="22"/>
              </w:rPr>
            </w:pPr>
            <w:r w:rsidRPr="004E4EB0">
              <w:rPr>
                <w:rFonts w:ascii="Calibri" w:hAnsi="Calibri"/>
                <w:color w:val="000000"/>
                <w:sz w:val="22"/>
                <w:szCs w:val="22"/>
              </w:rPr>
              <w:t>1.971</w:t>
            </w:r>
          </w:p>
        </w:tc>
        <w:tc>
          <w:tcPr>
            <w:tcW w:w="960" w:type="dxa"/>
            <w:tcBorders>
              <w:top w:val="single" w:sz="4" w:space="0" w:color="FFFFFF"/>
              <w:left w:val="single" w:sz="4" w:space="0" w:color="FFFFFF"/>
              <w:bottom w:val="single" w:sz="4" w:space="0" w:color="FFFFFF"/>
              <w:right w:val="single" w:sz="4" w:space="0" w:color="FFFFFF"/>
            </w:tcBorders>
            <w:shd w:val="clear" w:color="B8CCE4" w:fill="B8CCE4"/>
            <w:noWrap/>
            <w:vAlign w:val="center"/>
            <w:hideMark/>
          </w:tcPr>
          <w:p w:rsidR="004E4EB0" w:rsidRPr="004E4EB0" w:rsidRDefault="004E4EB0" w:rsidP="004E4EB0">
            <w:pPr>
              <w:jc w:val="center"/>
              <w:rPr>
                <w:rFonts w:ascii="Calibri" w:hAnsi="Calibri"/>
                <w:color w:val="000000"/>
                <w:sz w:val="22"/>
                <w:szCs w:val="22"/>
              </w:rPr>
            </w:pPr>
            <w:r w:rsidRPr="004E4EB0">
              <w:rPr>
                <w:rFonts w:ascii="Calibri" w:hAnsi="Calibri"/>
                <w:color w:val="000000"/>
                <w:sz w:val="22"/>
                <w:szCs w:val="22"/>
              </w:rPr>
              <w:t>1.966</w:t>
            </w:r>
          </w:p>
        </w:tc>
        <w:tc>
          <w:tcPr>
            <w:tcW w:w="960" w:type="dxa"/>
            <w:tcBorders>
              <w:top w:val="single" w:sz="4" w:space="0" w:color="FFFFFF"/>
              <w:left w:val="single" w:sz="4" w:space="0" w:color="FFFFFF"/>
              <w:bottom w:val="single" w:sz="4" w:space="0" w:color="FFFFFF"/>
              <w:right w:val="nil"/>
            </w:tcBorders>
            <w:shd w:val="clear" w:color="B8CCE4" w:fill="B8CCE4"/>
            <w:noWrap/>
            <w:vAlign w:val="center"/>
            <w:hideMark/>
          </w:tcPr>
          <w:p w:rsidR="004E4EB0" w:rsidRPr="004E4EB0" w:rsidRDefault="004E4EB0" w:rsidP="004E4EB0">
            <w:pPr>
              <w:jc w:val="center"/>
              <w:rPr>
                <w:rFonts w:ascii="Calibri" w:hAnsi="Calibri"/>
                <w:color w:val="000000"/>
                <w:sz w:val="22"/>
                <w:szCs w:val="22"/>
              </w:rPr>
            </w:pPr>
            <w:r w:rsidRPr="004E4EB0">
              <w:rPr>
                <w:rFonts w:ascii="Calibri" w:hAnsi="Calibri"/>
                <w:color w:val="000000"/>
                <w:sz w:val="22"/>
                <w:szCs w:val="22"/>
              </w:rPr>
              <w:t>1.964</w:t>
            </w:r>
          </w:p>
        </w:tc>
      </w:tr>
      <w:tr w:rsidR="004E4EB0" w:rsidRPr="004E4EB0" w:rsidTr="004E4EB0">
        <w:trPr>
          <w:trHeight w:val="300"/>
          <w:jc w:val="center"/>
        </w:trPr>
        <w:tc>
          <w:tcPr>
            <w:tcW w:w="2720" w:type="dxa"/>
            <w:tcBorders>
              <w:top w:val="single" w:sz="4" w:space="0" w:color="FFFFFF"/>
              <w:left w:val="nil"/>
              <w:bottom w:val="nil"/>
              <w:right w:val="single" w:sz="4" w:space="0" w:color="FFFFFF"/>
            </w:tcBorders>
            <w:shd w:val="clear" w:color="DCE6F1" w:fill="DCE6F1"/>
            <w:noWrap/>
            <w:vAlign w:val="center"/>
            <w:hideMark/>
          </w:tcPr>
          <w:p w:rsidR="004E4EB0" w:rsidRPr="004E4EB0" w:rsidRDefault="004E4EB0" w:rsidP="004E4EB0">
            <w:pPr>
              <w:rPr>
                <w:rFonts w:ascii="Calibri" w:hAnsi="Calibri"/>
                <w:color w:val="000000"/>
                <w:sz w:val="22"/>
                <w:szCs w:val="22"/>
              </w:rPr>
            </w:pPr>
            <w:r w:rsidRPr="004E4EB0">
              <w:rPr>
                <w:rFonts w:ascii="Calibri" w:hAnsi="Calibri"/>
                <w:color w:val="000000"/>
                <w:sz w:val="22"/>
                <w:szCs w:val="22"/>
              </w:rPr>
              <w:t>Avg LPS Voltage (V)</w:t>
            </w:r>
          </w:p>
        </w:tc>
        <w:tc>
          <w:tcPr>
            <w:tcW w:w="960" w:type="dxa"/>
            <w:tcBorders>
              <w:top w:val="single" w:sz="4" w:space="0" w:color="FFFFFF"/>
              <w:left w:val="single" w:sz="4" w:space="0" w:color="FFFFFF"/>
              <w:bottom w:val="nil"/>
              <w:right w:val="single" w:sz="4" w:space="0" w:color="FFFFFF"/>
            </w:tcBorders>
            <w:shd w:val="clear" w:color="DCE6F1" w:fill="DCE6F1"/>
            <w:noWrap/>
            <w:vAlign w:val="center"/>
            <w:hideMark/>
          </w:tcPr>
          <w:p w:rsidR="004E4EB0" w:rsidRPr="004E4EB0" w:rsidRDefault="004E4EB0" w:rsidP="004E4EB0">
            <w:pPr>
              <w:jc w:val="center"/>
              <w:rPr>
                <w:rFonts w:ascii="Calibri" w:hAnsi="Calibri"/>
                <w:color w:val="000000"/>
                <w:sz w:val="22"/>
                <w:szCs w:val="22"/>
              </w:rPr>
            </w:pPr>
            <w:r w:rsidRPr="004E4EB0">
              <w:rPr>
                <w:rFonts w:ascii="Calibri" w:hAnsi="Calibri"/>
                <w:color w:val="000000"/>
                <w:sz w:val="22"/>
                <w:szCs w:val="22"/>
              </w:rPr>
              <w:t>23.85</w:t>
            </w:r>
          </w:p>
        </w:tc>
        <w:tc>
          <w:tcPr>
            <w:tcW w:w="960" w:type="dxa"/>
            <w:tcBorders>
              <w:top w:val="single" w:sz="4" w:space="0" w:color="FFFFFF"/>
              <w:left w:val="single" w:sz="4" w:space="0" w:color="FFFFFF"/>
              <w:bottom w:val="nil"/>
              <w:right w:val="single" w:sz="4" w:space="0" w:color="FFFFFF"/>
            </w:tcBorders>
            <w:shd w:val="clear" w:color="DCE6F1" w:fill="DCE6F1"/>
            <w:noWrap/>
            <w:vAlign w:val="center"/>
            <w:hideMark/>
          </w:tcPr>
          <w:p w:rsidR="004E4EB0" w:rsidRPr="004E4EB0" w:rsidRDefault="004E4EB0" w:rsidP="004E4EB0">
            <w:pPr>
              <w:jc w:val="center"/>
              <w:rPr>
                <w:rFonts w:ascii="Calibri" w:hAnsi="Calibri"/>
                <w:color w:val="000000"/>
                <w:sz w:val="22"/>
                <w:szCs w:val="22"/>
              </w:rPr>
            </w:pPr>
            <w:r w:rsidRPr="004E4EB0">
              <w:rPr>
                <w:rFonts w:ascii="Calibri" w:hAnsi="Calibri"/>
                <w:color w:val="000000"/>
                <w:sz w:val="22"/>
                <w:szCs w:val="22"/>
              </w:rPr>
              <w:t>23.85</w:t>
            </w:r>
          </w:p>
        </w:tc>
        <w:tc>
          <w:tcPr>
            <w:tcW w:w="960" w:type="dxa"/>
            <w:tcBorders>
              <w:top w:val="single" w:sz="4" w:space="0" w:color="FFFFFF"/>
              <w:left w:val="single" w:sz="4" w:space="0" w:color="FFFFFF"/>
              <w:bottom w:val="nil"/>
              <w:right w:val="nil"/>
            </w:tcBorders>
            <w:shd w:val="clear" w:color="DCE6F1" w:fill="DCE6F1"/>
            <w:noWrap/>
            <w:vAlign w:val="center"/>
            <w:hideMark/>
          </w:tcPr>
          <w:p w:rsidR="004E4EB0" w:rsidRPr="004E4EB0" w:rsidRDefault="004E4EB0" w:rsidP="004E4EB0">
            <w:pPr>
              <w:keepNext/>
              <w:jc w:val="center"/>
              <w:rPr>
                <w:rFonts w:ascii="Calibri" w:hAnsi="Calibri"/>
                <w:color w:val="000000"/>
                <w:sz w:val="22"/>
                <w:szCs w:val="22"/>
              </w:rPr>
            </w:pPr>
            <w:r w:rsidRPr="004E4EB0">
              <w:rPr>
                <w:rFonts w:ascii="Calibri" w:hAnsi="Calibri"/>
                <w:color w:val="000000"/>
                <w:sz w:val="22"/>
                <w:szCs w:val="22"/>
              </w:rPr>
              <w:t>23.85</w:t>
            </w:r>
          </w:p>
        </w:tc>
      </w:tr>
    </w:tbl>
    <w:p w:rsidR="004E4EB0" w:rsidRDefault="004E4EB0" w:rsidP="004E4EB0">
      <w:pPr>
        <w:pStyle w:val="Caption"/>
      </w:pPr>
      <w:bookmarkStart w:id="24" w:name="_Ref387304144"/>
      <w:r>
        <w:t xml:space="preserve">Table </w:t>
      </w:r>
      <w:r w:rsidR="00E5676F">
        <w:fldChar w:fldCharType="begin"/>
      </w:r>
      <w:r w:rsidR="00E5676F">
        <w:instrText xml:space="preserve"> SEQ Table \* ARABIC </w:instrText>
      </w:r>
      <w:r w:rsidR="00E5676F">
        <w:fldChar w:fldCharType="separate"/>
      </w:r>
      <w:r w:rsidR="00A70300">
        <w:rPr>
          <w:noProof/>
        </w:rPr>
        <w:t>2</w:t>
      </w:r>
      <w:r w:rsidR="00E5676F">
        <w:rPr>
          <w:noProof/>
        </w:rPr>
        <w:fldChar w:fldCharType="end"/>
      </w:r>
      <w:bookmarkEnd w:id="24"/>
      <w:r>
        <w:t>- Summary Results</w:t>
      </w:r>
    </w:p>
    <w:p w:rsidR="004E4EB0" w:rsidRDefault="004E4EB0" w:rsidP="001F1EBB"/>
    <w:p w:rsidR="004E4EB0" w:rsidRPr="00497954" w:rsidRDefault="00497954" w:rsidP="001F1EBB">
      <w:pPr>
        <w:rPr>
          <w:color w:val="0070C0"/>
        </w:rPr>
      </w:pPr>
      <w:r w:rsidRPr="00497954">
        <w:rPr>
          <w:color w:val="0070C0"/>
        </w:rPr>
        <w:t xml:space="preserve">SM1: Samples Model 1 </w:t>
      </w:r>
      <w:r>
        <w:rPr>
          <w:color w:val="0070C0"/>
        </w:rPr>
        <w:t xml:space="preserve">from Sensata </w:t>
      </w:r>
      <w:r w:rsidRPr="00497954">
        <w:rPr>
          <w:color w:val="0070C0"/>
        </w:rPr>
        <w:t>– It contains beryllium copper C17500 spring contact arm</w:t>
      </w:r>
    </w:p>
    <w:p w:rsidR="00497954" w:rsidRDefault="00497954" w:rsidP="001F1EBB">
      <w:pPr>
        <w:rPr>
          <w:color w:val="0070C0"/>
        </w:rPr>
      </w:pPr>
      <w:r w:rsidRPr="00497954">
        <w:rPr>
          <w:color w:val="0070C0"/>
        </w:rPr>
        <w:t xml:space="preserve">SM2: Samples Model </w:t>
      </w:r>
      <w:r>
        <w:rPr>
          <w:color w:val="0070C0"/>
        </w:rPr>
        <w:t>2</w:t>
      </w:r>
      <w:r w:rsidRPr="00497954">
        <w:rPr>
          <w:color w:val="0070C0"/>
        </w:rPr>
        <w:t xml:space="preserve"> </w:t>
      </w:r>
      <w:r>
        <w:rPr>
          <w:color w:val="0070C0"/>
        </w:rPr>
        <w:t xml:space="preserve">from Sensata </w:t>
      </w:r>
      <w:r w:rsidRPr="00497954">
        <w:rPr>
          <w:color w:val="0070C0"/>
        </w:rPr>
        <w:t>– It contains beryllium copper C175</w:t>
      </w:r>
      <w:r>
        <w:rPr>
          <w:color w:val="0070C0"/>
        </w:rPr>
        <w:t>1</w:t>
      </w:r>
      <w:r w:rsidRPr="00497954">
        <w:rPr>
          <w:color w:val="0070C0"/>
        </w:rPr>
        <w:t>0 spring contact arm</w:t>
      </w:r>
    </w:p>
    <w:p w:rsidR="00497954" w:rsidRPr="00497954" w:rsidRDefault="00497954" w:rsidP="001F1EBB">
      <w:pPr>
        <w:rPr>
          <w:color w:val="0070C0"/>
        </w:rPr>
      </w:pPr>
      <w:r>
        <w:rPr>
          <w:color w:val="0070C0"/>
        </w:rPr>
        <w:t>ORIG: Original Thermostat being replaced that is made by Selco</w:t>
      </w:r>
    </w:p>
    <w:p w:rsidR="004E4EB0" w:rsidRDefault="004E4EB0" w:rsidP="001F1EBB"/>
    <w:p w:rsidR="001F1EBB" w:rsidRDefault="001F1EBB" w:rsidP="001F1EBB">
      <w:r>
        <w:t xml:space="preserve">The </w:t>
      </w:r>
      <w:r w:rsidR="00497954">
        <w:t xml:space="preserve">summary results of all 3 styles of thermostats are shown in </w:t>
      </w:r>
      <w:r w:rsidR="00497954">
        <w:fldChar w:fldCharType="begin"/>
      </w:r>
      <w:r w:rsidR="00497954">
        <w:instrText xml:space="preserve"> REF _Ref387304144 \h </w:instrText>
      </w:r>
      <w:r w:rsidR="00497954">
        <w:fldChar w:fldCharType="separate"/>
      </w:r>
      <w:r w:rsidR="00A70300">
        <w:t xml:space="preserve">Table </w:t>
      </w:r>
      <w:r w:rsidR="00A70300">
        <w:rPr>
          <w:noProof/>
        </w:rPr>
        <w:t>2</w:t>
      </w:r>
      <w:r w:rsidR="00497954">
        <w:fldChar w:fldCharType="end"/>
      </w:r>
      <w:r w:rsidR="00497954">
        <w:t xml:space="preserve">. The results indicate the average open temperature of the OTS is very close between all three types. </w:t>
      </w:r>
      <w:r w:rsidR="00CF23BB">
        <w:t xml:space="preserve"> The datasheet specifies a tolerance of ± 2.8</w:t>
      </w:r>
      <w:r w:rsidR="00CF23BB">
        <w:rPr>
          <w:rFonts w:ascii="Arial" w:hAnsi="Arial" w:cs="Arial"/>
        </w:rPr>
        <w:t>°</w:t>
      </w:r>
      <w:r w:rsidR="00CF23BB">
        <w:t xml:space="preserve">C. The new switch is </w:t>
      </w:r>
      <w:r w:rsidR="00497954">
        <w:t xml:space="preserve">close to be </w:t>
      </w:r>
      <w:r w:rsidR="00CF23BB">
        <w:t xml:space="preserve">within the allowed tolerance. </w:t>
      </w:r>
      <w:r w:rsidR="00497954">
        <w:t xml:space="preserve">The differences may be caused of the location of the thermocouple to </w:t>
      </w:r>
      <w:r w:rsidR="00497954">
        <w:lastRenderedPageBreak/>
        <w:t xml:space="preserve">the thermostat, about an inch away. </w:t>
      </w:r>
      <w:r w:rsidR="00CF23BB">
        <w:t>There are some variations in the results caused by the response time and tolerance of the thermometer and the thermocouple. The results of the switch opening are acceptable</w:t>
      </w:r>
      <w:r w:rsidR="00497954">
        <w:t xml:space="preserve"> for both types of Sensata samples</w:t>
      </w:r>
      <w:r w:rsidR="00CF23BB">
        <w:t>.</w:t>
      </w:r>
    </w:p>
    <w:p w:rsidR="00096F7B" w:rsidRDefault="00096F7B" w:rsidP="001F1EBB">
      <w:r>
        <w:t>The current through the thermostat and the voltage being switched to the LPS are very comparable between all 3 types of thermostats.</w:t>
      </w:r>
    </w:p>
    <w:p w:rsidR="00096F7B" w:rsidRDefault="00096F7B" w:rsidP="001F1EBB"/>
    <w:p w:rsidR="001F1EBB" w:rsidRDefault="00D06607" w:rsidP="001F1EBB">
      <w:r>
        <w:t xml:space="preserve">The results are plotted below in </w:t>
      </w:r>
      <w:r>
        <w:fldChar w:fldCharType="begin"/>
      </w:r>
      <w:r>
        <w:instrText xml:space="preserve"> REF _Ref355862573 \h </w:instrText>
      </w:r>
      <w:r>
        <w:fldChar w:fldCharType="separate"/>
      </w:r>
      <w:r w:rsidR="00A70300">
        <w:t xml:space="preserve">Figure </w:t>
      </w:r>
      <w:r w:rsidR="00A70300">
        <w:rPr>
          <w:noProof/>
        </w:rPr>
        <w:t>3</w:t>
      </w:r>
      <w:r>
        <w:fldChar w:fldCharType="end"/>
      </w:r>
      <w:r>
        <w:t>. The tolerance of the open and close is shown in the highlighted regions.</w:t>
      </w:r>
    </w:p>
    <w:p w:rsidR="001F1EBB" w:rsidRDefault="001F1EBB" w:rsidP="001F1EBB"/>
    <w:p w:rsidR="00D06607" w:rsidRDefault="00E31834" w:rsidP="00D06607">
      <w:pPr>
        <w:keepNext/>
        <w:jc w:val="center"/>
      </w:pPr>
      <w:r>
        <w:rPr>
          <w:noProof/>
          <w:lang w:val="en-SG" w:eastAsia="zh-CN"/>
        </w:rPr>
        <w:drawing>
          <wp:inline distT="0" distB="0" distL="0" distR="0" wp14:anchorId="66F5D6CB">
            <wp:extent cx="7050405" cy="47085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050405" cy="4708525"/>
                    </a:xfrm>
                    <a:prstGeom prst="rect">
                      <a:avLst/>
                    </a:prstGeom>
                    <a:noFill/>
                    <a:ln>
                      <a:noFill/>
                    </a:ln>
                  </pic:spPr>
                </pic:pic>
              </a:graphicData>
            </a:graphic>
          </wp:inline>
        </w:drawing>
      </w:r>
    </w:p>
    <w:p w:rsidR="001F1EBB" w:rsidRDefault="00D06607" w:rsidP="00D06607">
      <w:pPr>
        <w:pStyle w:val="Caption"/>
      </w:pPr>
      <w:bookmarkStart w:id="25" w:name="_Ref355862573"/>
      <w:r>
        <w:t xml:space="preserve">Figure </w:t>
      </w:r>
      <w:r w:rsidR="00E5676F">
        <w:fldChar w:fldCharType="begin"/>
      </w:r>
      <w:r w:rsidR="00E5676F">
        <w:instrText xml:space="preserve"> SEQ Figure \* ARABIC </w:instrText>
      </w:r>
      <w:r w:rsidR="00E5676F">
        <w:fldChar w:fldCharType="separate"/>
      </w:r>
      <w:r w:rsidR="00A70300">
        <w:rPr>
          <w:noProof/>
        </w:rPr>
        <w:t>3</w:t>
      </w:r>
      <w:r w:rsidR="00E5676F">
        <w:rPr>
          <w:noProof/>
        </w:rPr>
        <w:fldChar w:fldCharType="end"/>
      </w:r>
      <w:bookmarkEnd w:id="25"/>
      <w:r>
        <w:t>- Graph of the testing results</w:t>
      </w:r>
    </w:p>
    <w:p w:rsidR="00D06607" w:rsidRDefault="00D06607" w:rsidP="00D06607"/>
    <w:p w:rsidR="00D06607" w:rsidRPr="00D06607" w:rsidRDefault="007C1A8E" w:rsidP="00D06607">
      <w:r>
        <w:t xml:space="preserve">During the evaluation, it was observed that when the over temperature switch recloses, it causes the instrument to reset, issuing an initialization sequence. This </w:t>
      </w:r>
      <w:r w:rsidR="00497954">
        <w:t>is not a design feature</w:t>
      </w:r>
      <w:r>
        <w:t xml:space="preserve">; when the </w:t>
      </w:r>
      <w:r w:rsidR="00497954">
        <w:t>thermostat</w:t>
      </w:r>
      <w:r>
        <w:t xml:space="preserve"> recloses, the power is restored to the lamp power supply, which lights up the lamp. The resetting is caused by </w:t>
      </w:r>
      <w:r w:rsidR="00497954">
        <w:t xml:space="preserve">an </w:t>
      </w:r>
      <w:r>
        <w:t>instantaneous power draw on the 24V line, causing the 5V to dip momentarily. That 5V dip causes the 5V supervisory chip</w:t>
      </w:r>
      <w:r w:rsidR="00497954">
        <w:t xml:space="preserve"> on the CPU board</w:t>
      </w:r>
      <w:r>
        <w:t xml:space="preserve"> to trigger a reset. This problem has nothing to do with having the new </w:t>
      </w:r>
      <w:r w:rsidR="00497954">
        <w:t>thermostats</w:t>
      </w:r>
      <w:r>
        <w:t>. It also occurs using the current OTS from SELCO. This is a not a major concern, since when the OTS opens</w:t>
      </w:r>
      <w:r w:rsidR="00497954">
        <w:t xml:space="preserve"> </w:t>
      </w:r>
      <w:r>
        <w:t xml:space="preserve">is </w:t>
      </w:r>
      <w:r w:rsidR="00497954">
        <w:t xml:space="preserve">usually </w:t>
      </w:r>
      <w:r>
        <w:t>a result of a failure. Resetting the instrument is not affecting the protection mode. However, this problem should be investigated later in a separate evaluation.</w:t>
      </w:r>
    </w:p>
    <w:sectPr w:rsidR="00D06607" w:rsidRPr="00D06607" w:rsidSect="008F5CE5">
      <w:headerReference w:type="default" r:id="rId14"/>
      <w:footerReference w:type="default" r:id="rId15"/>
      <w:type w:val="continuous"/>
      <w:pgSz w:w="12240" w:h="15840" w:code="1"/>
      <w:pgMar w:top="360" w:right="360" w:bottom="245" w:left="360" w:header="360" w:footer="720" w:gutter="0"/>
      <w:cols w:space="720"/>
      <w:formProt w:val="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676F" w:rsidRDefault="00E5676F">
      <w:r>
        <w:separator/>
      </w:r>
    </w:p>
  </w:endnote>
  <w:endnote w:type="continuationSeparator" w:id="0">
    <w:p w:rsidR="00E5676F" w:rsidRDefault="00E567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8928"/>
      <w:gridCol w:w="990"/>
      <w:gridCol w:w="1710"/>
    </w:tblGrid>
    <w:tr w:rsidR="00CF23BB" w:rsidRPr="00463157" w:rsidTr="004F7DB3">
      <w:trPr>
        <w:trHeight w:hRule="exact" w:val="216"/>
      </w:trPr>
      <w:tc>
        <w:tcPr>
          <w:tcW w:w="9918" w:type="dxa"/>
          <w:gridSpan w:val="2"/>
          <w:tcBorders>
            <w:top w:val="nil"/>
            <w:left w:val="nil"/>
            <w:bottom w:val="nil"/>
            <w:right w:val="nil"/>
          </w:tcBorders>
        </w:tcPr>
        <w:p w:rsidR="00CF23BB" w:rsidRPr="00463157" w:rsidRDefault="00CF23BB">
          <w:pPr>
            <w:pStyle w:val="Footer"/>
            <w:ind w:right="-108"/>
            <w:rPr>
              <w:rFonts w:ascii="Arial" w:hAnsi="Arial"/>
              <w:sz w:val="20"/>
            </w:rPr>
          </w:pPr>
          <w:r w:rsidRPr="00463157">
            <w:rPr>
              <w:rFonts w:ascii="Arial" w:hAnsi="Arial"/>
              <w:sz w:val="20"/>
            </w:rPr>
            <w:t>Fo</w:t>
          </w:r>
          <w:r>
            <w:rPr>
              <w:rFonts w:ascii="Arial" w:hAnsi="Arial"/>
              <w:sz w:val="20"/>
            </w:rPr>
            <w:t>rm 730000940, Version 00</w:t>
          </w:r>
        </w:p>
      </w:tc>
      <w:tc>
        <w:tcPr>
          <w:tcW w:w="1710" w:type="dxa"/>
          <w:tcBorders>
            <w:top w:val="nil"/>
            <w:left w:val="nil"/>
            <w:bottom w:val="nil"/>
            <w:right w:val="nil"/>
          </w:tcBorders>
        </w:tcPr>
        <w:p w:rsidR="00CF23BB" w:rsidRPr="00463157" w:rsidRDefault="00CF23BB">
          <w:pPr>
            <w:pStyle w:val="Footer"/>
            <w:jc w:val="right"/>
            <w:rPr>
              <w:rFonts w:ascii="Arial" w:hAnsi="Arial" w:cs="Arial"/>
              <w:sz w:val="20"/>
            </w:rPr>
          </w:pPr>
          <w:r w:rsidRPr="00463157">
            <w:rPr>
              <w:rFonts w:ascii="Arial" w:hAnsi="Arial" w:cs="Arial"/>
              <w:sz w:val="20"/>
            </w:rPr>
            <w:t xml:space="preserve">Page </w:t>
          </w:r>
          <w:r w:rsidRPr="00463157">
            <w:rPr>
              <w:rFonts w:ascii="Arial" w:hAnsi="Arial" w:cs="Arial"/>
              <w:sz w:val="20"/>
            </w:rPr>
            <w:fldChar w:fldCharType="begin"/>
          </w:r>
          <w:r w:rsidRPr="00463157">
            <w:rPr>
              <w:rFonts w:ascii="Arial" w:hAnsi="Arial" w:cs="Arial"/>
              <w:sz w:val="20"/>
            </w:rPr>
            <w:instrText xml:space="preserve"> PAGE </w:instrText>
          </w:r>
          <w:r w:rsidRPr="00463157">
            <w:rPr>
              <w:rFonts w:ascii="Arial" w:hAnsi="Arial" w:cs="Arial"/>
              <w:sz w:val="20"/>
            </w:rPr>
            <w:fldChar w:fldCharType="separate"/>
          </w:r>
          <w:r w:rsidR="00E31834">
            <w:rPr>
              <w:rFonts w:ascii="Arial" w:hAnsi="Arial" w:cs="Arial"/>
              <w:noProof/>
              <w:sz w:val="20"/>
            </w:rPr>
            <w:t>3</w:t>
          </w:r>
          <w:r w:rsidRPr="00463157">
            <w:rPr>
              <w:rFonts w:ascii="Arial" w:hAnsi="Arial" w:cs="Arial"/>
              <w:sz w:val="20"/>
            </w:rPr>
            <w:fldChar w:fldCharType="end"/>
          </w:r>
          <w:r w:rsidRPr="00463157">
            <w:rPr>
              <w:rFonts w:ascii="Arial" w:hAnsi="Arial" w:cs="Arial"/>
              <w:sz w:val="20"/>
            </w:rPr>
            <w:t xml:space="preserve"> of </w:t>
          </w:r>
          <w:r w:rsidRPr="00463157">
            <w:rPr>
              <w:rFonts w:ascii="Arial" w:hAnsi="Arial" w:cs="Arial"/>
              <w:sz w:val="20"/>
            </w:rPr>
            <w:fldChar w:fldCharType="begin"/>
          </w:r>
          <w:r w:rsidRPr="00463157">
            <w:rPr>
              <w:rFonts w:ascii="Arial" w:hAnsi="Arial" w:cs="Arial"/>
              <w:sz w:val="20"/>
            </w:rPr>
            <w:instrText xml:space="preserve"> NUMPAGES </w:instrText>
          </w:r>
          <w:r w:rsidRPr="00463157">
            <w:rPr>
              <w:rFonts w:ascii="Arial" w:hAnsi="Arial" w:cs="Arial"/>
              <w:sz w:val="20"/>
            </w:rPr>
            <w:fldChar w:fldCharType="separate"/>
          </w:r>
          <w:r w:rsidR="00E31834">
            <w:rPr>
              <w:rFonts w:ascii="Arial" w:hAnsi="Arial" w:cs="Arial"/>
              <w:noProof/>
              <w:sz w:val="20"/>
            </w:rPr>
            <w:t>8</w:t>
          </w:r>
          <w:r w:rsidRPr="00463157">
            <w:rPr>
              <w:rFonts w:ascii="Arial" w:hAnsi="Arial" w:cs="Arial"/>
              <w:sz w:val="20"/>
            </w:rPr>
            <w:fldChar w:fldCharType="end"/>
          </w:r>
        </w:p>
      </w:tc>
    </w:tr>
    <w:tr w:rsidR="00CF23BB" w:rsidRPr="008F1160" w:rsidTr="004F7DB3">
      <w:tc>
        <w:tcPr>
          <w:tcW w:w="8928" w:type="dxa"/>
          <w:tcBorders>
            <w:top w:val="nil"/>
            <w:left w:val="nil"/>
            <w:bottom w:val="nil"/>
            <w:right w:val="nil"/>
          </w:tcBorders>
        </w:tcPr>
        <w:p w:rsidR="00CF23BB" w:rsidRPr="00463157" w:rsidRDefault="00CF23BB" w:rsidP="007F7FCF">
          <w:pPr>
            <w:pStyle w:val="Footer"/>
            <w:ind w:right="-108"/>
            <w:rPr>
              <w:rFonts w:ascii="Arial" w:hAnsi="Arial"/>
              <w:i/>
              <w:sz w:val="20"/>
              <w:lang w:val="fr-FR"/>
            </w:rPr>
          </w:pPr>
          <w:r w:rsidRPr="008F5CE5">
            <w:rPr>
              <w:rFonts w:ascii="Arial" w:hAnsi="Arial"/>
              <w:sz w:val="20"/>
            </w:rPr>
            <w:t>Reference</w:t>
          </w:r>
          <w:r w:rsidRPr="00463157">
            <w:rPr>
              <w:rFonts w:ascii="Arial" w:hAnsi="Arial"/>
              <w:sz w:val="20"/>
              <w:lang w:val="fr-FR"/>
            </w:rPr>
            <w:t xml:space="preserve"> Document: </w:t>
          </w:r>
          <w:r>
            <w:rPr>
              <w:rFonts w:ascii="Arial" w:hAnsi="Arial"/>
              <w:sz w:val="20"/>
              <w:lang w:val="fr-FR"/>
            </w:rPr>
            <w:t>730000939</w:t>
          </w:r>
          <w:r w:rsidRPr="00463157">
            <w:rPr>
              <w:rFonts w:ascii="Arial" w:hAnsi="Arial"/>
              <w:sz w:val="20"/>
              <w:lang w:val="fr-FR"/>
            </w:rPr>
            <w:t xml:space="preserve">, Version </w:t>
          </w:r>
          <w:r>
            <w:rPr>
              <w:rFonts w:ascii="Arial" w:hAnsi="Arial"/>
              <w:sz w:val="20"/>
              <w:lang w:val="fr-FR"/>
            </w:rPr>
            <w:t>00</w:t>
          </w:r>
        </w:p>
      </w:tc>
      <w:tc>
        <w:tcPr>
          <w:tcW w:w="2700" w:type="dxa"/>
          <w:gridSpan w:val="2"/>
          <w:tcBorders>
            <w:top w:val="nil"/>
            <w:left w:val="nil"/>
            <w:bottom w:val="nil"/>
            <w:right w:val="nil"/>
          </w:tcBorders>
          <w:vAlign w:val="bottom"/>
        </w:tcPr>
        <w:p w:rsidR="00CF23BB" w:rsidRPr="008F1160" w:rsidRDefault="00CF23BB" w:rsidP="002A1C53">
          <w:pPr>
            <w:pStyle w:val="Footer"/>
            <w:jc w:val="right"/>
            <w:rPr>
              <w:rFonts w:ascii="Arial" w:hAnsi="Arial"/>
              <w:sz w:val="16"/>
              <w:szCs w:val="16"/>
            </w:rPr>
          </w:pPr>
        </w:p>
      </w:tc>
    </w:tr>
  </w:tbl>
  <w:p w:rsidR="00CF23BB" w:rsidRDefault="00CF23B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676F" w:rsidRDefault="00E5676F">
      <w:r>
        <w:separator/>
      </w:r>
    </w:p>
  </w:footnote>
  <w:footnote w:type="continuationSeparator" w:id="0">
    <w:p w:rsidR="00E5676F" w:rsidRDefault="00E567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539" w:type="dxa"/>
      <w:tblLook w:val="01E0" w:firstRow="1" w:lastRow="1" w:firstColumn="1" w:lastColumn="1" w:noHBand="0" w:noVBand="0"/>
    </w:tblPr>
    <w:tblGrid>
      <w:gridCol w:w="9216"/>
      <w:gridCol w:w="2323"/>
    </w:tblGrid>
    <w:tr w:rsidR="00CF23BB" w:rsidRPr="00A14ACD" w:rsidTr="00527809">
      <w:trPr>
        <w:trHeight w:val="187"/>
      </w:trPr>
      <w:tc>
        <w:tcPr>
          <w:tcW w:w="9216" w:type="dxa"/>
          <w:vMerge w:val="restart"/>
          <w:tcBorders>
            <w:right w:val="single" w:sz="4" w:space="0" w:color="auto"/>
          </w:tcBorders>
        </w:tcPr>
        <w:p w:rsidR="00CF23BB" w:rsidRPr="00A14ACD" w:rsidRDefault="00CF23BB" w:rsidP="00DF2070">
          <w:pPr>
            <w:pStyle w:val="Header"/>
            <w:tabs>
              <w:tab w:val="clear" w:pos="4320"/>
              <w:tab w:val="clear" w:pos="8640"/>
              <w:tab w:val="center" w:pos="720"/>
              <w:tab w:val="right" w:pos="1440"/>
            </w:tabs>
            <w:rPr>
              <w:rFonts w:ascii="Arial" w:hAnsi="Arial"/>
              <w:sz w:val="18"/>
            </w:rPr>
          </w:pPr>
          <w:r w:rsidRPr="00A14ACD">
            <w:rPr>
              <w:rFonts w:ascii="Arial" w:hAnsi="Arial"/>
              <w:sz w:val="36"/>
            </w:rPr>
            <w:t>Waters ISO Quality System Documentation</w:t>
          </w:r>
        </w:p>
      </w:tc>
      <w:tc>
        <w:tcPr>
          <w:tcW w:w="2323" w:type="dxa"/>
          <w:tcBorders>
            <w:top w:val="single" w:sz="4" w:space="0" w:color="auto"/>
            <w:left w:val="single" w:sz="4" w:space="0" w:color="auto"/>
            <w:right w:val="single" w:sz="4" w:space="0" w:color="auto"/>
          </w:tcBorders>
          <w:vAlign w:val="bottom"/>
        </w:tcPr>
        <w:p w:rsidR="00CF23BB" w:rsidRPr="00A14ACD" w:rsidRDefault="00CF23BB" w:rsidP="00DF2070">
          <w:pPr>
            <w:pStyle w:val="Header"/>
            <w:tabs>
              <w:tab w:val="clear" w:pos="4320"/>
              <w:tab w:val="clear" w:pos="8640"/>
              <w:tab w:val="center" w:pos="720"/>
              <w:tab w:val="right" w:pos="1440"/>
            </w:tabs>
            <w:jc w:val="center"/>
            <w:rPr>
              <w:rFonts w:ascii="Arial" w:hAnsi="Arial"/>
              <w:sz w:val="18"/>
            </w:rPr>
          </w:pPr>
          <w:r w:rsidRPr="00A14ACD">
            <w:rPr>
              <w:rFonts w:ascii="Arial" w:hAnsi="Arial"/>
              <w:sz w:val="18"/>
            </w:rPr>
            <w:t>DOCUMENT NUMBER</w:t>
          </w:r>
        </w:p>
      </w:tc>
    </w:tr>
    <w:tr w:rsidR="00CF23BB" w:rsidRPr="00A14ACD" w:rsidTr="00527809">
      <w:trPr>
        <w:trHeight w:val="332"/>
      </w:trPr>
      <w:tc>
        <w:tcPr>
          <w:tcW w:w="9216" w:type="dxa"/>
          <w:vMerge/>
          <w:tcBorders>
            <w:right w:val="single" w:sz="4" w:space="0" w:color="auto"/>
          </w:tcBorders>
        </w:tcPr>
        <w:p w:rsidR="00CF23BB" w:rsidRPr="00A14ACD" w:rsidRDefault="00CF23BB" w:rsidP="00DF2070">
          <w:pPr>
            <w:pStyle w:val="Header"/>
            <w:tabs>
              <w:tab w:val="clear" w:pos="4320"/>
              <w:tab w:val="clear" w:pos="8640"/>
              <w:tab w:val="center" w:pos="720"/>
              <w:tab w:val="right" w:pos="1440"/>
            </w:tabs>
            <w:rPr>
              <w:rFonts w:ascii="Arial" w:hAnsi="Arial"/>
              <w:sz w:val="18"/>
            </w:rPr>
          </w:pPr>
        </w:p>
      </w:tc>
      <w:tc>
        <w:tcPr>
          <w:tcW w:w="2323" w:type="dxa"/>
          <w:tcBorders>
            <w:left w:val="single" w:sz="4" w:space="0" w:color="auto"/>
            <w:bottom w:val="single" w:sz="4" w:space="0" w:color="auto"/>
            <w:right w:val="single" w:sz="4" w:space="0" w:color="auto"/>
          </w:tcBorders>
        </w:tcPr>
        <w:p w:rsidR="00CF23BB" w:rsidRPr="008F5CE5" w:rsidRDefault="00CF23BB" w:rsidP="00566650">
          <w:pPr>
            <w:pStyle w:val="Header"/>
            <w:tabs>
              <w:tab w:val="clear" w:pos="4320"/>
              <w:tab w:val="clear" w:pos="8640"/>
              <w:tab w:val="center" w:pos="720"/>
              <w:tab w:val="right" w:pos="1440"/>
            </w:tabs>
            <w:jc w:val="center"/>
            <w:rPr>
              <w:rFonts w:ascii="Arial" w:hAnsi="Arial"/>
              <w:szCs w:val="24"/>
            </w:rPr>
          </w:pPr>
          <w:r>
            <w:rPr>
              <w:rFonts w:ascii="Arial" w:hAnsi="Arial"/>
              <w:szCs w:val="24"/>
            </w:rPr>
            <w:t>73000</w:t>
          </w:r>
          <w:r w:rsidR="00566650">
            <w:rPr>
              <w:rFonts w:ascii="Arial" w:hAnsi="Arial"/>
              <w:szCs w:val="24"/>
            </w:rPr>
            <w:t>6369</w:t>
          </w:r>
        </w:p>
      </w:tc>
    </w:tr>
    <w:tr w:rsidR="00CF23BB" w:rsidRPr="00A14ACD" w:rsidTr="00527809">
      <w:trPr>
        <w:trHeight w:val="215"/>
      </w:trPr>
      <w:tc>
        <w:tcPr>
          <w:tcW w:w="9216" w:type="dxa"/>
          <w:tcBorders>
            <w:top w:val="single" w:sz="4" w:space="0" w:color="auto"/>
            <w:left w:val="single" w:sz="4" w:space="0" w:color="auto"/>
            <w:right w:val="single" w:sz="4" w:space="0" w:color="auto"/>
          </w:tcBorders>
          <w:vAlign w:val="bottom"/>
        </w:tcPr>
        <w:p w:rsidR="00CF23BB" w:rsidRPr="00A14ACD" w:rsidRDefault="00CF23BB" w:rsidP="00DF2070">
          <w:pPr>
            <w:pStyle w:val="Header"/>
            <w:tabs>
              <w:tab w:val="clear" w:pos="4320"/>
              <w:tab w:val="clear" w:pos="8640"/>
              <w:tab w:val="center" w:pos="720"/>
              <w:tab w:val="right" w:pos="1440"/>
            </w:tabs>
            <w:rPr>
              <w:rFonts w:ascii="Arial" w:hAnsi="Arial"/>
              <w:sz w:val="18"/>
            </w:rPr>
          </w:pPr>
          <w:r w:rsidRPr="00A14ACD">
            <w:rPr>
              <w:rFonts w:ascii="Arial" w:hAnsi="Arial"/>
              <w:sz w:val="18"/>
            </w:rPr>
            <w:t>TITLE</w:t>
          </w:r>
        </w:p>
      </w:tc>
      <w:tc>
        <w:tcPr>
          <w:tcW w:w="2323" w:type="dxa"/>
          <w:tcBorders>
            <w:top w:val="single" w:sz="4" w:space="0" w:color="auto"/>
            <w:left w:val="single" w:sz="4" w:space="0" w:color="auto"/>
            <w:right w:val="single" w:sz="4" w:space="0" w:color="auto"/>
          </w:tcBorders>
          <w:vAlign w:val="bottom"/>
        </w:tcPr>
        <w:p w:rsidR="00CF23BB" w:rsidRPr="00A14ACD" w:rsidRDefault="00CF23BB" w:rsidP="00DF2070">
          <w:pPr>
            <w:pStyle w:val="Header"/>
            <w:tabs>
              <w:tab w:val="clear" w:pos="4320"/>
              <w:tab w:val="clear" w:pos="8640"/>
              <w:tab w:val="center" w:pos="720"/>
              <w:tab w:val="right" w:pos="1440"/>
            </w:tabs>
            <w:jc w:val="center"/>
            <w:rPr>
              <w:rFonts w:ascii="Arial" w:hAnsi="Arial"/>
              <w:sz w:val="18"/>
            </w:rPr>
          </w:pPr>
          <w:r w:rsidRPr="00A14ACD">
            <w:rPr>
              <w:rFonts w:ascii="Arial" w:hAnsi="Arial"/>
              <w:sz w:val="18"/>
            </w:rPr>
            <w:t>VERSION</w:t>
          </w:r>
        </w:p>
      </w:tc>
    </w:tr>
    <w:tr w:rsidR="00CF23BB" w:rsidRPr="00A14ACD" w:rsidTr="00527809">
      <w:trPr>
        <w:trHeight w:val="332"/>
      </w:trPr>
      <w:tc>
        <w:tcPr>
          <w:tcW w:w="9216" w:type="dxa"/>
          <w:tcBorders>
            <w:left w:val="single" w:sz="4" w:space="0" w:color="auto"/>
            <w:bottom w:val="single" w:sz="4" w:space="0" w:color="auto"/>
            <w:right w:val="single" w:sz="4" w:space="0" w:color="auto"/>
          </w:tcBorders>
        </w:tcPr>
        <w:p w:rsidR="00CF23BB" w:rsidRPr="00A14ACD" w:rsidRDefault="00CF23BB" w:rsidP="0046082A">
          <w:pPr>
            <w:pStyle w:val="Header"/>
            <w:tabs>
              <w:tab w:val="clear" w:pos="4320"/>
              <w:tab w:val="clear" w:pos="8640"/>
              <w:tab w:val="center" w:pos="720"/>
              <w:tab w:val="right" w:pos="1440"/>
            </w:tabs>
            <w:rPr>
              <w:rFonts w:ascii="Arial" w:hAnsi="Arial"/>
              <w:szCs w:val="24"/>
            </w:rPr>
          </w:pPr>
          <w:r>
            <w:rPr>
              <w:rFonts w:ascii="Arial" w:hAnsi="Arial"/>
              <w:szCs w:val="24"/>
            </w:rPr>
            <w:t>Evaluating A New Over Temp Switch in The TUV and PDA  Refresh Detectors</w:t>
          </w:r>
        </w:p>
      </w:tc>
      <w:tc>
        <w:tcPr>
          <w:tcW w:w="2323" w:type="dxa"/>
          <w:tcBorders>
            <w:left w:val="single" w:sz="4" w:space="0" w:color="auto"/>
            <w:bottom w:val="single" w:sz="4" w:space="0" w:color="auto"/>
            <w:right w:val="single" w:sz="4" w:space="0" w:color="auto"/>
          </w:tcBorders>
        </w:tcPr>
        <w:p w:rsidR="00CF23BB" w:rsidRPr="00A14ACD" w:rsidRDefault="00CF23BB" w:rsidP="00752B3D">
          <w:pPr>
            <w:pStyle w:val="Header"/>
            <w:tabs>
              <w:tab w:val="clear" w:pos="4320"/>
              <w:tab w:val="clear" w:pos="8640"/>
              <w:tab w:val="center" w:pos="720"/>
              <w:tab w:val="right" w:pos="1440"/>
            </w:tabs>
            <w:jc w:val="center"/>
            <w:rPr>
              <w:rFonts w:ascii="Arial" w:hAnsi="Arial"/>
              <w:szCs w:val="24"/>
            </w:rPr>
          </w:pPr>
          <w:r w:rsidRPr="00A14ACD">
            <w:rPr>
              <w:rFonts w:ascii="Arial" w:hAnsi="Arial"/>
              <w:szCs w:val="24"/>
            </w:rPr>
            <w:t>0</w:t>
          </w:r>
          <w:r w:rsidR="00752B3D">
            <w:rPr>
              <w:rFonts w:ascii="Arial" w:hAnsi="Arial"/>
              <w:szCs w:val="24"/>
            </w:rPr>
            <w:t>1</w:t>
          </w:r>
        </w:p>
      </w:tc>
    </w:tr>
  </w:tbl>
  <w:p w:rsidR="00CF23BB" w:rsidRPr="00527809" w:rsidRDefault="00CF23BB" w:rsidP="0067291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D5890"/>
    <w:multiLevelType w:val="multilevel"/>
    <w:tmpl w:val="0F4C1C2A"/>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
    <w:nsid w:val="099830BE"/>
    <w:multiLevelType w:val="hybridMultilevel"/>
    <w:tmpl w:val="71204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3DB19FA"/>
    <w:multiLevelType w:val="multilevel"/>
    <w:tmpl w:val="0F4C1C2A"/>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
    <w:nsid w:val="3AC31945"/>
    <w:multiLevelType w:val="multilevel"/>
    <w:tmpl w:val="0F4C1C2A"/>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
    <w:nsid w:val="476F2099"/>
    <w:multiLevelType w:val="multilevel"/>
    <w:tmpl w:val="0F4C1C2A"/>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
    <w:nsid w:val="5E426565"/>
    <w:multiLevelType w:val="multilevel"/>
    <w:tmpl w:val="0F4C1C2A"/>
    <w:lvl w:ilvl="0">
      <w:start w:val="1"/>
      <w:numFmt w:val="decimal"/>
      <w:lvlText w:val="%1.0"/>
      <w:lvlJc w:val="left"/>
      <w:pPr>
        <w:tabs>
          <w:tab w:val="num" w:pos="2160"/>
        </w:tabs>
        <w:ind w:left="2160" w:hanging="720"/>
      </w:pPr>
      <w:rPr>
        <w:rFonts w:hint="default"/>
      </w:rPr>
    </w:lvl>
    <w:lvl w:ilvl="1">
      <w:start w:val="1"/>
      <w:numFmt w:val="decimal"/>
      <w:lvlText w:val="%1.%2"/>
      <w:lvlJc w:val="left"/>
      <w:pPr>
        <w:tabs>
          <w:tab w:val="num" w:pos="2880"/>
        </w:tabs>
        <w:ind w:left="2880"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4320"/>
        </w:tabs>
        <w:ind w:left="432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120"/>
        </w:tabs>
        <w:ind w:left="6120" w:hanging="1080"/>
      </w:pPr>
      <w:rPr>
        <w:rFonts w:hint="default"/>
      </w:rPr>
    </w:lvl>
    <w:lvl w:ilvl="6">
      <w:start w:val="1"/>
      <w:numFmt w:val="decimal"/>
      <w:lvlText w:val="%1.%2.%3.%4.%5.%6.%7"/>
      <w:lvlJc w:val="left"/>
      <w:pPr>
        <w:tabs>
          <w:tab w:val="num" w:pos="7200"/>
        </w:tabs>
        <w:ind w:left="7200" w:hanging="1440"/>
      </w:pPr>
      <w:rPr>
        <w:rFonts w:hint="default"/>
      </w:rPr>
    </w:lvl>
    <w:lvl w:ilvl="7">
      <w:start w:val="1"/>
      <w:numFmt w:val="decimal"/>
      <w:lvlText w:val="%1.%2.%3.%4.%5.%6.%7.%8"/>
      <w:lvlJc w:val="left"/>
      <w:pPr>
        <w:tabs>
          <w:tab w:val="num" w:pos="7920"/>
        </w:tabs>
        <w:ind w:left="7920" w:hanging="1440"/>
      </w:pPr>
      <w:rPr>
        <w:rFonts w:hint="default"/>
      </w:rPr>
    </w:lvl>
    <w:lvl w:ilvl="8">
      <w:start w:val="1"/>
      <w:numFmt w:val="decimal"/>
      <w:lvlText w:val="%1.%2.%3.%4.%5.%6.%7.%8.%9"/>
      <w:lvlJc w:val="left"/>
      <w:pPr>
        <w:tabs>
          <w:tab w:val="num" w:pos="9000"/>
        </w:tabs>
        <w:ind w:left="9000" w:hanging="1800"/>
      </w:pPr>
      <w:rPr>
        <w:rFonts w:hint="default"/>
      </w:rPr>
    </w:lvl>
  </w:abstractNum>
  <w:abstractNum w:abstractNumId="6">
    <w:nsid w:val="6FC652A2"/>
    <w:multiLevelType w:val="multilevel"/>
    <w:tmpl w:val="0F4C1C2A"/>
    <w:lvl w:ilvl="0">
      <w:start w:val="1"/>
      <w:numFmt w:val="decimal"/>
      <w:lvlText w:val="%1.0"/>
      <w:lvlJc w:val="left"/>
      <w:pPr>
        <w:tabs>
          <w:tab w:val="num" w:pos="2160"/>
        </w:tabs>
        <w:ind w:left="2160" w:hanging="720"/>
      </w:pPr>
      <w:rPr>
        <w:rFonts w:hint="default"/>
      </w:rPr>
    </w:lvl>
    <w:lvl w:ilvl="1">
      <w:start w:val="1"/>
      <w:numFmt w:val="decimal"/>
      <w:lvlText w:val="%1.%2"/>
      <w:lvlJc w:val="left"/>
      <w:pPr>
        <w:tabs>
          <w:tab w:val="num" w:pos="2880"/>
        </w:tabs>
        <w:ind w:left="2880"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4320"/>
        </w:tabs>
        <w:ind w:left="432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120"/>
        </w:tabs>
        <w:ind w:left="6120" w:hanging="1080"/>
      </w:pPr>
      <w:rPr>
        <w:rFonts w:hint="default"/>
      </w:rPr>
    </w:lvl>
    <w:lvl w:ilvl="6">
      <w:start w:val="1"/>
      <w:numFmt w:val="decimal"/>
      <w:lvlText w:val="%1.%2.%3.%4.%5.%6.%7"/>
      <w:lvlJc w:val="left"/>
      <w:pPr>
        <w:tabs>
          <w:tab w:val="num" w:pos="7200"/>
        </w:tabs>
        <w:ind w:left="7200" w:hanging="1440"/>
      </w:pPr>
      <w:rPr>
        <w:rFonts w:hint="default"/>
      </w:rPr>
    </w:lvl>
    <w:lvl w:ilvl="7">
      <w:start w:val="1"/>
      <w:numFmt w:val="decimal"/>
      <w:lvlText w:val="%1.%2.%3.%4.%5.%6.%7.%8"/>
      <w:lvlJc w:val="left"/>
      <w:pPr>
        <w:tabs>
          <w:tab w:val="num" w:pos="7920"/>
        </w:tabs>
        <w:ind w:left="7920" w:hanging="1440"/>
      </w:pPr>
      <w:rPr>
        <w:rFonts w:hint="default"/>
      </w:rPr>
    </w:lvl>
    <w:lvl w:ilvl="8">
      <w:start w:val="1"/>
      <w:numFmt w:val="decimal"/>
      <w:lvlText w:val="%1.%2.%3.%4.%5.%6.%7.%8.%9"/>
      <w:lvlJc w:val="left"/>
      <w:pPr>
        <w:tabs>
          <w:tab w:val="num" w:pos="9000"/>
        </w:tabs>
        <w:ind w:left="9000" w:hanging="1800"/>
      </w:pPr>
      <w:rPr>
        <w:rFonts w:hint="default"/>
      </w:rPr>
    </w:lvl>
  </w:abstractNum>
  <w:num w:numId="1">
    <w:abstractNumId w:val="1"/>
  </w:num>
  <w:num w:numId="2">
    <w:abstractNumId w:val="3"/>
  </w:num>
  <w:num w:numId="3">
    <w:abstractNumId w:val="6"/>
  </w:num>
  <w:num w:numId="4">
    <w:abstractNumId w:val="0"/>
  </w:num>
  <w:num w:numId="5">
    <w:abstractNumId w:val="2"/>
  </w:num>
  <w:num w:numId="6">
    <w:abstractNumId w:val="5"/>
  </w:num>
  <w:num w:numId="7">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4BB6"/>
    <w:rsid w:val="00002309"/>
    <w:rsid w:val="00002C58"/>
    <w:rsid w:val="00005B92"/>
    <w:rsid w:val="00006239"/>
    <w:rsid w:val="00013C3B"/>
    <w:rsid w:val="00022CD3"/>
    <w:rsid w:val="00025FFF"/>
    <w:rsid w:val="00027A86"/>
    <w:rsid w:val="00032FC0"/>
    <w:rsid w:val="000408DC"/>
    <w:rsid w:val="0004277C"/>
    <w:rsid w:val="00043A66"/>
    <w:rsid w:val="0005739C"/>
    <w:rsid w:val="00064197"/>
    <w:rsid w:val="00065019"/>
    <w:rsid w:val="00066E11"/>
    <w:rsid w:val="00067C83"/>
    <w:rsid w:val="00075A15"/>
    <w:rsid w:val="00083754"/>
    <w:rsid w:val="0008775A"/>
    <w:rsid w:val="00096498"/>
    <w:rsid w:val="00096F7B"/>
    <w:rsid w:val="000A72F3"/>
    <w:rsid w:val="000B1FDA"/>
    <w:rsid w:val="000C34C9"/>
    <w:rsid w:val="000C77BC"/>
    <w:rsid w:val="000D4A4B"/>
    <w:rsid w:val="000F7813"/>
    <w:rsid w:val="001001AC"/>
    <w:rsid w:val="0011340F"/>
    <w:rsid w:val="0012095E"/>
    <w:rsid w:val="00127028"/>
    <w:rsid w:val="00161764"/>
    <w:rsid w:val="00172871"/>
    <w:rsid w:val="00172DB6"/>
    <w:rsid w:val="00173CB7"/>
    <w:rsid w:val="0017634F"/>
    <w:rsid w:val="00181F9F"/>
    <w:rsid w:val="0019540F"/>
    <w:rsid w:val="001977C7"/>
    <w:rsid w:val="001A2701"/>
    <w:rsid w:val="001A27D3"/>
    <w:rsid w:val="001A2850"/>
    <w:rsid w:val="001A751E"/>
    <w:rsid w:val="001B532D"/>
    <w:rsid w:val="001D4B2E"/>
    <w:rsid w:val="001D5CEF"/>
    <w:rsid w:val="001E0342"/>
    <w:rsid w:val="001E0AF4"/>
    <w:rsid w:val="001E6B7C"/>
    <w:rsid w:val="001E771C"/>
    <w:rsid w:val="001F0324"/>
    <w:rsid w:val="001F1EBB"/>
    <w:rsid w:val="00200CE7"/>
    <w:rsid w:val="00202B75"/>
    <w:rsid w:val="00210943"/>
    <w:rsid w:val="00230FEE"/>
    <w:rsid w:val="00235BFA"/>
    <w:rsid w:val="002360AA"/>
    <w:rsid w:val="00246037"/>
    <w:rsid w:val="00283E25"/>
    <w:rsid w:val="00285AB4"/>
    <w:rsid w:val="00287319"/>
    <w:rsid w:val="00296F78"/>
    <w:rsid w:val="002A0B06"/>
    <w:rsid w:val="002A1C53"/>
    <w:rsid w:val="002A4D13"/>
    <w:rsid w:val="002A6123"/>
    <w:rsid w:val="002B0810"/>
    <w:rsid w:val="002C09A0"/>
    <w:rsid w:val="002C2206"/>
    <w:rsid w:val="002C386A"/>
    <w:rsid w:val="002C599B"/>
    <w:rsid w:val="002D1F36"/>
    <w:rsid w:val="002E185B"/>
    <w:rsid w:val="002E2889"/>
    <w:rsid w:val="002E714E"/>
    <w:rsid w:val="002F5C13"/>
    <w:rsid w:val="003078C1"/>
    <w:rsid w:val="00312689"/>
    <w:rsid w:val="00313CEC"/>
    <w:rsid w:val="00315A3C"/>
    <w:rsid w:val="0033706D"/>
    <w:rsid w:val="00340EC4"/>
    <w:rsid w:val="0034594C"/>
    <w:rsid w:val="00346AD5"/>
    <w:rsid w:val="00354549"/>
    <w:rsid w:val="003553F7"/>
    <w:rsid w:val="00360533"/>
    <w:rsid w:val="003615F9"/>
    <w:rsid w:val="0036510C"/>
    <w:rsid w:val="003658FA"/>
    <w:rsid w:val="003661C0"/>
    <w:rsid w:val="00367F36"/>
    <w:rsid w:val="00370CB0"/>
    <w:rsid w:val="00372C99"/>
    <w:rsid w:val="00375166"/>
    <w:rsid w:val="00380804"/>
    <w:rsid w:val="00382B29"/>
    <w:rsid w:val="00386054"/>
    <w:rsid w:val="00391008"/>
    <w:rsid w:val="00394894"/>
    <w:rsid w:val="0039568C"/>
    <w:rsid w:val="003B44DA"/>
    <w:rsid w:val="003B4B53"/>
    <w:rsid w:val="003B5AB8"/>
    <w:rsid w:val="003B71D6"/>
    <w:rsid w:val="003C4E28"/>
    <w:rsid w:val="003D4EBB"/>
    <w:rsid w:val="003D77D3"/>
    <w:rsid w:val="003E1469"/>
    <w:rsid w:val="003E1F10"/>
    <w:rsid w:val="00403011"/>
    <w:rsid w:val="00404DCB"/>
    <w:rsid w:val="00413A89"/>
    <w:rsid w:val="004313EA"/>
    <w:rsid w:val="00431D36"/>
    <w:rsid w:val="004379D9"/>
    <w:rsid w:val="004453A0"/>
    <w:rsid w:val="004527E2"/>
    <w:rsid w:val="0046082A"/>
    <w:rsid w:val="00463157"/>
    <w:rsid w:val="0048060E"/>
    <w:rsid w:val="004824C3"/>
    <w:rsid w:val="00491883"/>
    <w:rsid w:val="00497954"/>
    <w:rsid w:val="004A090F"/>
    <w:rsid w:val="004A19E0"/>
    <w:rsid w:val="004A78CF"/>
    <w:rsid w:val="004B741A"/>
    <w:rsid w:val="004E4EB0"/>
    <w:rsid w:val="004F0AC9"/>
    <w:rsid w:val="004F1E7D"/>
    <w:rsid w:val="004F464A"/>
    <w:rsid w:val="004F7DB3"/>
    <w:rsid w:val="005009F7"/>
    <w:rsid w:val="0051706B"/>
    <w:rsid w:val="00522410"/>
    <w:rsid w:val="0052634E"/>
    <w:rsid w:val="00527809"/>
    <w:rsid w:val="005553EE"/>
    <w:rsid w:val="00560BF3"/>
    <w:rsid w:val="005649A0"/>
    <w:rsid w:val="005665C2"/>
    <w:rsid w:val="00566650"/>
    <w:rsid w:val="00570544"/>
    <w:rsid w:val="005840D2"/>
    <w:rsid w:val="005843AB"/>
    <w:rsid w:val="005862E4"/>
    <w:rsid w:val="005966BD"/>
    <w:rsid w:val="005A66DD"/>
    <w:rsid w:val="005B391C"/>
    <w:rsid w:val="005C10B2"/>
    <w:rsid w:val="005D01BF"/>
    <w:rsid w:val="005D6CED"/>
    <w:rsid w:val="005E6CA4"/>
    <w:rsid w:val="005E71FB"/>
    <w:rsid w:val="005F2A1C"/>
    <w:rsid w:val="005F464D"/>
    <w:rsid w:val="005F4C86"/>
    <w:rsid w:val="00603CA8"/>
    <w:rsid w:val="00605850"/>
    <w:rsid w:val="0061180B"/>
    <w:rsid w:val="0061207F"/>
    <w:rsid w:val="006149A4"/>
    <w:rsid w:val="0061571B"/>
    <w:rsid w:val="00615938"/>
    <w:rsid w:val="00615B06"/>
    <w:rsid w:val="00616D41"/>
    <w:rsid w:val="0062259E"/>
    <w:rsid w:val="00625F89"/>
    <w:rsid w:val="00626161"/>
    <w:rsid w:val="00630CE4"/>
    <w:rsid w:val="00632A4F"/>
    <w:rsid w:val="00637F97"/>
    <w:rsid w:val="00645A08"/>
    <w:rsid w:val="00645C06"/>
    <w:rsid w:val="006472C6"/>
    <w:rsid w:val="0065468C"/>
    <w:rsid w:val="006553AA"/>
    <w:rsid w:val="00667ABA"/>
    <w:rsid w:val="00670D45"/>
    <w:rsid w:val="00671A47"/>
    <w:rsid w:val="00671EAD"/>
    <w:rsid w:val="0067291B"/>
    <w:rsid w:val="006B411F"/>
    <w:rsid w:val="006C10BC"/>
    <w:rsid w:val="006C19D2"/>
    <w:rsid w:val="006E2F53"/>
    <w:rsid w:val="006F08D0"/>
    <w:rsid w:val="006F13D8"/>
    <w:rsid w:val="006F3B9C"/>
    <w:rsid w:val="006F59B0"/>
    <w:rsid w:val="00706541"/>
    <w:rsid w:val="00710F42"/>
    <w:rsid w:val="00734435"/>
    <w:rsid w:val="00734880"/>
    <w:rsid w:val="0074165E"/>
    <w:rsid w:val="0074515F"/>
    <w:rsid w:val="00747333"/>
    <w:rsid w:val="00752B3D"/>
    <w:rsid w:val="00753C98"/>
    <w:rsid w:val="00756B17"/>
    <w:rsid w:val="00761A80"/>
    <w:rsid w:val="00776176"/>
    <w:rsid w:val="0078775B"/>
    <w:rsid w:val="00791A6B"/>
    <w:rsid w:val="00795EBA"/>
    <w:rsid w:val="007A1500"/>
    <w:rsid w:val="007A4477"/>
    <w:rsid w:val="007A7FDC"/>
    <w:rsid w:val="007C1A8E"/>
    <w:rsid w:val="007D1EBA"/>
    <w:rsid w:val="007D72F0"/>
    <w:rsid w:val="007E2A98"/>
    <w:rsid w:val="007E44D4"/>
    <w:rsid w:val="007F79C4"/>
    <w:rsid w:val="007F7FCF"/>
    <w:rsid w:val="008031CC"/>
    <w:rsid w:val="00805CEA"/>
    <w:rsid w:val="008170A3"/>
    <w:rsid w:val="00822661"/>
    <w:rsid w:val="008259FC"/>
    <w:rsid w:val="00830580"/>
    <w:rsid w:val="008348A4"/>
    <w:rsid w:val="00841532"/>
    <w:rsid w:val="00843779"/>
    <w:rsid w:val="00844736"/>
    <w:rsid w:val="00845039"/>
    <w:rsid w:val="008502AC"/>
    <w:rsid w:val="008514F2"/>
    <w:rsid w:val="00855079"/>
    <w:rsid w:val="00863947"/>
    <w:rsid w:val="008734A0"/>
    <w:rsid w:val="008748E8"/>
    <w:rsid w:val="0087528D"/>
    <w:rsid w:val="00875973"/>
    <w:rsid w:val="00875F9E"/>
    <w:rsid w:val="00884B08"/>
    <w:rsid w:val="00890806"/>
    <w:rsid w:val="0089361D"/>
    <w:rsid w:val="008975FE"/>
    <w:rsid w:val="008A5144"/>
    <w:rsid w:val="008B4A99"/>
    <w:rsid w:val="008B4BE8"/>
    <w:rsid w:val="008D1EDF"/>
    <w:rsid w:val="008D4842"/>
    <w:rsid w:val="008F1160"/>
    <w:rsid w:val="008F3903"/>
    <w:rsid w:val="008F5CE5"/>
    <w:rsid w:val="00900194"/>
    <w:rsid w:val="00903A8C"/>
    <w:rsid w:val="00904BB6"/>
    <w:rsid w:val="00923E6E"/>
    <w:rsid w:val="009250D3"/>
    <w:rsid w:val="00940F56"/>
    <w:rsid w:val="00946802"/>
    <w:rsid w:val="009522E0"/>
    <w:rsid w:val="00962E9A"/>
    <w:rsid w:val="0097073F"/>
    <w:rsid w:val="00976655"/>
    <w:rsid w:val="00976D7B"/>
    <w:rsid w:val="00980231"/>
    <w:rsid w:val="0098176C"/>
    <w:rsid w:val="009959F8"/>
    <w:rsid w:val="009A7F15"/>
    <w:rsid w:val="009B2254"/>
    <w:rsid w:val="009C1AB6"/>
    <w:rsid w:val="009C6BC6"/>
    <w:rsid w:val="009E2A36"/>
    <w:rsid w:val="009E3062"/>
    <w:rsid w:val="009F421A"/>
    <w:rsid w:val="009F780A"/>
    <w:rsid w:val="00A02BC0"/>
    <w:rsid w:val="00A02D19"/>
    <w:rsid w:val="00A074AB"/>
    <w:rsid w:val="00A108E9"/>
    <w:rsid w:val="00A13D41"/>
    <w:rsid w:val="00A16F0D"/>
    <w:rsid w:val="00A17EA8"/>
    <w:rsid w:val="00A2044A"/>
    <w:rsid w:val="00A36163"/>
    <w:rsid w:val="00A435AB"/>
    <w:rsid w:val="00A50EB1"/>
    <w:rsid w:val="00A565DA"/>
    <w:rsid w:val="00A56988"/>
    <w:rsid w:val="00A70300"/>
    <w:rsid w:val="00A941FE"/>
    <w:rsid w:val="00A97148"/>
    <w:rsid w:val="00AA0B56"/>
    <w:rsid w:val="00AA3B3D"/>
    <w:rsid w:val="00AA4E00"/>
    <w:rsid w:val="00AC07C1"/>
    <w:rsid w:val="00AC08FC"/>
    <w:rsid w:val="00AC3FFC"/>
    <w:rsid w:val="00AC4D9B"/>
    <w:rsid w:val="00AC5AA5"/>
    <w:rsid w:val="00AE3C58"/>
    <w:rsid w:val="00AF4A5F"/>
    <w:rsid w:val="00B006C1"/>
    <w:rsid w:val="00B10592"/>
    <w:rsid w:val="00B326E4"/>
    <w:rsid w:val="00B34A0C"/>
    <w:rsid w:val="00B40194"/>
    <w:rsid w:val="00B43749"/>
    <w:rsid w:val="00B438A3"/>
    <w:rsid w:val="00B44EAC"/>
    <w:rsid w:val="00B60338"/>
    <w:rsid w:val="00B64191"/>
    <w:rsid w:val="00B6573D"/>
    <w:rsid w:val="00B753DB"/>
    <w:rsid w:val="00B840D6"/>
    <w:rsid w:val="00B865AB"/>
    <w:rsid w:val="00B91925"/>
    <w:rsid w:val="00B92FC5"/>
    <w:rsid w:val="00BA0ABD"/>
    <w:rsid w:val="00BA4680"/>
    <w:rsid w:val="00BA6953"/>
    <w:rsid w:val="00BB40B1"/>
    <w:rsid w:val="00BC1163"/>
    <w:rsid w:val="00BC2475"/>
    <w:rsid w:val="00BC65DD"/>
    <w:rsid w:val="00BD3114"/>
    <w:rsid w:val="00BD7C17"/>
    <w:rsid w:val="00C000F9"/>
    <w:rsid w:val="00C05419"/>
    <w:rsid w:val="00C076DB"/>
    <w:rsid w:val="00C13148"/>
    <w:rsid w:val="00C14C4D"/>
    <w:rsid w:val="00C24799"/>
    <w:rsid w:val="00C25621"/>
    <w:rsid w:val="00C26233"/>
    <w:rsid w:val="00C2648E"/>
    <w:rsid w:val="00C64E57"/>
    <w:rsid w:val="00C65061"/>
    <w:rsid w:val="00C76C01"/>
    <w:rsid w:val="00C8025C"/>
    <w:rsid w:val="00C90596"/>
    <w:rsid w:val="00C916B7"/>
    <w:rsid w:val="00C91846"/>
    <w:rsid w:val="00C92628"/>
    <w:rsid w:val="00C96D86"/>
    <w:rsid w:val="00CB40D6"/>
    <w:rsid w:val="00CC1167"/>
    <w:rsid w:val="00CC3279"/>
    <w:rsid w:val="00CC7ED3"/>
    <w:rsid w:val="00CD00F2"/>
    <w:rsid w:val="00CE5BC0"/>
    <w:rsid w:val="00CF03C8"/>
    <w:rsid w:val="00CF23BB"/>
    <w:rsid w:val="00CF248A"/>
    <w:rsid w:val="00CF3418"/>
    <w:rsid w:val="00CF469F"/>
    <w:rsid w:val="00CF583B"/>
    <w:rsid w:val="00D02C5F"/>
    <w:rsid w:val="00D04353"/>
    <w:rsid w:val="00D06607"/>
    <w:rsid w:val="00D101D1"/>
    <w:rsid w:val="00D2082E"/>
    <w:rsid w:val="00D23A86"/>
    <w:rsid w:val="00D30C28"/>
    <w:rsid w:val="00D35AAA"/>
    <w:rsid w:val="00D4529C"/>
    <w:rsid w:val="00D4573D"/>
    <w:rsid w:val="00D461CA"/>
    <w:rsid w:val="00D51AF8"/>
    <w:rsid w:val="00D52EFF"/>
    <w:rsid w:val="00D553FB"/>
    <w:rsid w:val="00D6270C"/>
    <w:rsid w:val="00D66E11"/>
    <w:rsid w:val="00D70949"/>
    <w:rsid w:val="00D75B42"/>
    <w:rsid w:val="00D80CA7"/>
    <w:rsid w:val="00D83E1D"/>
    <w:rsid w:val="00D845B9"/>
    <w:rsid w:val="00DA132B"/>
    <w:rsid w:val="00DA25FA"/>
    <w:rsid w:val="00DC28AE"/>
    <w:rsid w:val="00DC4C5F"/>
    <w:rsid w:val="00DD02AB"/>
    <w:rsid w:val="00DD6430"/>
    <w:rsid w:val="00DD6D2E"/>
    <w:rsid w:val="00DE29A9"/>
    <w:rsid w:val="00DF2070"/>
    <w:rsid w:val="00DF46D1"/>
    <w:rsid w:val="00DF539D"/>
    <w:rsid w:val="00DF66E7"/>
    <w:rsid w:val="00DF6BBC"/>
    <w:rsid w:val="00E04161"/>
    <w:rsid w:val="00E12D82"/>
    <w:rsid w:val="00E209B9"/>
    <w:rsid w:val="00E2677D"/>
    <w:rsid w:val="00E31834"/>
    <w:rsid w:val="00E34286"/>
    <w:rsid w:val="00E43552"/>
    <w:rsid w:val="00E51459"/>
    <w:rsid w:val="00E53724"/>
    <w:rsid w:val="00E54594"/>
    <w:rsid w:val="00E5676F"/>
    <w:rsid w:val="00E61F3A"/>
    <w:rsid w:val="00E65E56"/>
    <w:rsid w:val="00E70DB0"/>
    <w:rsid w:val="00E724BD"/>
    <w:rsid w:val="00E73C8B"/>
    <w:rsid w:val="00E76DC7"/>
    <w:rsid w:val="00E8031F"/>
    <w:rsid w:val="00E86221"/>
    <w:rsid w:val="00E923A2"/>
    <w:rsid w:val="00E93E19"/>
    <w:rsid w:val="00EB2DC7"/>
    <w:rsid w:val="00EB73C5"/>
    <w:rsid w:val="00ED07F5"/>
    <w:rsid w:val="00ED6490"/>
    <w:rsid w:val="00ED6A77"/>
    <w:rsid w:val="00EF18ED"/>
    <w:rsid w:val="00EF5A27"/>
    <w:rsid w:val="00F0569A"/>
    <w:rsid w:val="00F05B43"/>
    <w:rsid w:val="00F067F2"/>
    <w:rsid w:val="00F172A6"/>
    <w:rsid w:val="00F21AC6"/>
    <w:rsid w:val="00F23CFB"/>
    <w:rsid w:val="00F333DE"/>
    <w:rsid w:val="00F33B91"/>
    <w:rsid w:val="00F4331C"/>
    <w:rsid w:val="00F46BAC"/>
    <w:rsid w:val="00F46CB7"/>
    <w:rsid w:val="00F47D60"/>
    <w:rsid w:val="00F550F8"/>
    <w:rsid w:val="00F57B28"/>
    <w:rsid w:val="00F61EF2"/>
    <w:rsid w:val="00F701AF"/>
    <w:rsid w:val="00F753F6"/>
    <w:rsid w:val="00FA0EB4"/>
    <w:rsid w:val="00FA326B"/>
    <w:rsid w:val="00FA5211"/>
    <w:rsid w:val="00FB1C1A"/>
    <w:rsid w:val="00FB6CAD"/>
    <w:rsid w:val="00FC0EFB"/>
    <w:rsid w:val="00FC2545"/>
    <w:rsid w:val="00FC3C5C"/>
    <w:rsid w:val="00FC411F"/>
    <w:rsid w:val="00FC5876"/>
    <w:rsid w:val="00FC5FBA"/>
    <w:rsid w:val="00FD283F"/>
    <w:rsid w:val="00FE18B0"/>
    <w:rsid w:val="00FE40E2"/>
    <w:rsid w:val="00FE49CC"/>
    <w:rsid w:val="00FF317C"/>
    <w:rsid w:val="00FF4E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741A"/>
    <w:rPr>
      <w:sz w:val="24"/>
    </w:rPr>
  </w:style>
  <w:style w:type="paragraph" w:styleId="Heading1">
    <w:name w:val="heading 1"/>
    <w:basedOn w:val="Normal"/>
    <w:next w:val="Normal"/>
    <w:link w:val="Heading1Char"/>
    <w:qFormat/>
    <w:rsid w:val="008031C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8031CC"/>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nhideWhenUsed/>
    <w:qFormat/>
    <w:rsid w:val="004B741A"/>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qFormat/>
    <w:rsid w:val="00403011"/>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character" w:styleId="PageNumber">
    <w:name w:val="page number"/>
    <w:basedOn w:val="DefaultParagraphFont"/>
  </w:style>
  <w:style w:type="paragraph" w:styleId="Footer">
    <w:name w:val="footer"/>
    <w:basedOn w:val="Normal"/>
    <w:pPr>
      <w:tabs>
        <w:tab w:val="center" w:pos="4320"/>
        <w:tab w:val="right" w:pos="8640"/>
      </w:tabs>
    </w:pPr>
  </w:style>
  <w:style w:type="paragraph" w:styleId="BlockText">
    <w:name w:val="Block Text"/>
    <w:basedOn w:val="Normal"/>
    <w:pPr>
      <w:ind w:left="576" w:right="576"/>
    </w:pPr>
  </w:style>
  <w:style w:type="paragraph" w:styleId="BalloonText">
    <w:name w:val="Balloon Text"/>
    <w:basedOn w:val="Normal"/>
    <w:semiHidden/>
    <w:rsid w:val="00F46BAC"/>
    <w:rPr>
      <w:rFonts w:ascii="Tahoma" w:hAnsi="Tahoma" w:cs="Tahoma"/>
      <w:sz w:val="16"/>
      <w:szCs w:val="16"/>
    </w:rPr>
  </w:style>
  <w:style w:type="table" w:styleId="TableGrid">
    <w:name w:val="Table Grid"/>
    <w:basedOn w:val="TableNormal"/>
    <w:rsid w:val="00F46B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sid w:val="00283E25"/>
    <w:rPr>
      <w:sz w:val="16"/>
      <w:szCs w:val="16"/>
    </w:rPr>
  </w:style>
  <w:style w:type="paragraph" w:styleId="CommentText">
    <w:name w:val="annotation text"/>
    <w:basedOn w:val="Normal"/>
    <w:semiHidden/>
    <w:rsid w:val="00283E25"/>
    <w:rPr>
      <w:sz w:val="20"/>
    </w:rPr>
  </w:style>
  <w:style w:type="paragraph" w:styleId="CommentSubject">
    <w:name w:val="annotation subject"/>
    <w:basedOn w:val="CommentText"/>
    <w:next w:val="CommentText"/>
    <w:semiHidden/>
    <w:rsid w:val="00283E25"/>
    <w:rPr>
      <w:b/>
      <w:bCs/>
    </w:rPr>
  </w:style>
  <w:style w:type="paragraph" w:styleId="TOC1">
    <w:name w:val="toc 1"/>
    <w:basedOn w:val="Normal"/>
    <w:next w:val="Normal"/>
    <w:autoRedefine/>
    <w:uiPriority w:val="39"/>
    <w:rsid w:val="0067291B"/>
    <w:pPr>
      <w:tabs>
        <w:tab w:val="left" w:pos="720"/>
        <w:tab w:val="right" w:leader="dot" w:pos="11510"/>
      </w:tabs>
    </w:pPr>
    <w:rPr>
      <w:b/>
      <w:sz w:val="28"/>
      <w:szCs w:val="28"/>
    </w:rPr>
  </w:style>
  <w:style w:type="paragraph" w:styleId="ListParagraph">
    <w:name w:val="List Paragraph"/>
    <w:basedOn w:val="Normal"/>
    <w:uiPriority w:val="34"/>
    <w:qFormat/>
    <w:rsid w:val="00F172A6"/>
    <w:pPr>
      <w:ind w:left="720"/>
    </w:pPr>
  </w:style>
  <w:style w:type="character" w:customStyle="1" w:styleId="Heading4Char">
    <w:name w:val="Heading 4 Char"/>
    <w:basedOn w:val="DefaultParagraphFont"/>
    <w:link w:val="Heading4"/>
    <w:rsid w:val="00403011"/>
    <w:rPr>
      <w:rFonts w:ascii="Calibri" w:eastAsia="Times New Roman" w:hAnsi="Calibri" w:cs="Times New Roman"/>
      <w:b/>
      <w:bCs/>
      <w:sz w:val="28"/>
      <w:szCs w:val="28"/>
    </w:rPr>
  </w:style>
  <w:style w:type="character" w:customStyle="1" w:styleId="HeaderChar">
    <w:name w:val="Header Char"/>
    <w:basedOn w:val="DefaultParagraphFont"/>
    <w:link w:val="Header"/>
    <w:rsid w:val="00527809"/>
    <w:rPr>
      <w:sz w:val="24"/>
    </w:rPr>
  </w:style>
  <w:style w:type="character" w:styleId="Hyperlink">
    <w:name w:val="Hyperlink"/>
    <w:basedOn w:val="DefaultParagraphFont"/>
    <w:rsid w:val="00DD6D2E"/>
    <w:rPr>
      <w:color w:val="0000FF"/>
      <w:u w:val="single"/>
    </w:rPr>
  </w:style>
  <w:style w:type="paragraph" w:styleId="Caption">
    <w:name w:val="caption"/>
    <w:basedOn w:val="Normal"/>
    <w:next w:val="Normal"/>
    <w:qFormat/>
    <w:rsid w:val="003078C1"/>
    <w:pPr>
      <w:spacing w:before="120" w:after="60"/>
      <w:jc w:val="center"/>
    </w:pPr>
    <w:rPr>
      <w:b/>
      <w:bCs/>
    </w:rPr>
  </w:style>
  <w:style w:type="paragraph" w:styleId="Title">
    <w:name w:val="Title"/>
    <w:basedOn w:val="Normal"/>
    <w:qFormat/>
    <w:rsid w:val="0067291B"/>
    <w:pPr>
      <w:spacing w:before="240" w:after="60"/>
      <w:jc w:val="center"/>
    </w:pPr>
    <w:rPr>
      <w:rFonts w:ascii="Arial" w:hAnsi="Arial" w:cs="Arial"/>
      <w:b/>
      <w:bCs/>
      <w:kern w:val="28"/>
      <w:sz w:val="32"/>
      <w:szCs w:val="32"/>
    </w:rPr>
  </w:style>
  <w:style w:type="paragraph" w:customStyle="1" w:styleId="TableTitles">
    <w:name w:val="Table Titles"/>
    <w:basedOn w:val="Normal"/>
    <w:rsid w:val="00C64E57"/>
    <w:pPr>
      <w:jc w:val="center"/>
    </w:pPr>
    <w:rPr>
      <w:rFonts w:ascii="Arial" w:hAnsi="Arial"/>
      <w:b/>
      <w:bCs/>
    </w:rPr>
  </w:style>
  <w:style w:type="character" w:customStyle="1" w:styleId="Heading1Char">
    <w:name w:val="Heading 1 Char"/>
    <w:basedOn w:val="DefaultParagraphFont"/>
    <w:link w:val="Heading1"/>
    <w:rsid w:val="00B753DB"/>
    <w:rPr>
      <w:rFonts w:ascii="Arial" w:hAnsi="Arial" w:cs="Arial"/>
      <w:b/>
      <w:bCs/>
      <w:kern w:val="32"/>
      <w:sz w:val="32"/>
      <w:szCs w:val="32"/>
    </w:rPr>
  </w:style>
  <w:style w:type="character" w:customStyle="1" w:styleId="Heading2Char">
    <w:name w:val="Heading 2 Char"/>
    <w:basedOn w:val="DefaultParagraphFont"/>
    <w:link w:val="Heading2"/>
    <w:rsid w:val="002A0B06"/>
    <w:rPr>
      <w:rFonts w:ascii="Arial" w:hAnsi="Arial" w:cs="Arial"/>
      <w:b/>
      <w:bCs/>
      <w:i/>
      <w:iCs/>
      <w:sz w:val="28"/>
      <w:szCs w:val="28"/>
    </w:rPr>
  </w:style>
  <w:style w:type="paragraph" w:styleId="TOC2">
    <w:name w:val="toc 2"/>
    <w:basedOn w:val="Normal"/>
    <w:next w:val="Normal"/>
    <w:autoRedefine/>
    <w:uiPriority w:val="39"/>
    <w:rsid w:val="00D06607"/>
    <w:pPr>
      <w:ind w:left="240"/>
    </w:pPr>
  </w:style>
  <w:style w:type="character" w:styleId="SubtleReference">
    <w:name w:val="Subtle Reference"/>
    <w:basedOn w:val="DefaultParagraphFont"/>
    <w:uiPriority w:val="31"/>
    <w:qFormat/>
    <w:rsid w:val="001E0AF4"/>
    <w:rPr>
      <w:smallCaps/>
      <w:color w:val="C0504D" w:themeColor="accent2"/>
      <w:u w:val="single"/>
    </w:rPr>
  </w:style>
  <w:style w:type="character" w:customStyle="1" w:styleId="Heading3Char">
    <w:name w:val="Heading 3 Char"/>
    <w:basedOn w:val="DefaultParagraphFont"/>
    <w:link w:val="Heading3"/>
    <w:rsid w:val="004B741A"/>
    <w:rPr>
      <w:rFonts w:asciiTheme="majorHAnsi" w:eastAsiaTheme="majorEastAsia" w:hAnsiTheme="majorHAnsi" w:cstheme="majorBidi"/>
      <w:b/>
      <w:bCs/>
      <w:sz w:val="26"/>
      <w:szCs w:val="26"/>
    </w:rPr>
  </w:style>
  <w:style w:type="paragraph" w:styleId="TOC3">
    <w:name w:val="toc 3"/>
    <w:basedOn w:val="Normal"/>
    <w:next w:val="Normal"/>
    <w:autoRedefine/>
    <w:uiPriority w:val="39"/>
    <w:rsid w:val="008259FC"/>
    <w:pPr>
      <w:ind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741A"/>
    <w:rPr>
      <w:sz w:val="24"/>
    </w:rPr>
  </w:style>
  <w:style w:type="paragraph" w:styleId="Heading1">
    <w:name w:val="heading 1"/>
    <w:basedOn w:val="Normal"/>
    <w:next w:val="Normal"/>
    <w:link w:val="Heading1Char"/>
    <w:qFormat/>
    <w:rsid w:val="008031C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8031CC"/>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nhideWhenUsed/>
    <w:qFormat/>
    <w:rsid w:val="004B741A"/>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qFormat/>
    <w:rsid w:val="00403011"/>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character" w:styleId="PageNumber">
    <w:name w:val="page number"/>
    <w:basedOn w:val="DefaultParagraphFont"/>
  </w:style>
  <w:style w:type="paragraph" w:styleId="Footer">
    <w:name w:val="footer"/>
    <w:basedOn w:val="Normal"/>
    <w:pPr>
      <w:tabs>
        <w:tab w:val="center" w:pos="4320"/>
        <w:tab w:val="right" w:pos="8640"/>
      </w:tabs>
    </w:pPr>
  </w:style>
  <w:style w:type="paragraph" w:styleId="BlockText">
    <w:name w:val="Block Text"/>
    <w:basedOn w:val="Normal"/>
    <w:pPr>
      <w:ind w:left="576" w:right="576"/>
    </w:pPr>
  </w:style>
  <w:style w:type="paragraph" w:styleId="BalloonText">
    <w:name w:val="Balloon Text"/>
    <w:basedOn w:val="Normal"/>
    <w:semiHidden/>
    <w:rsid w:val="00F46BAC"/>
    <w:rPr>
      <w:rFonts w:ascii="Tahoma" w:hAnsi="Tahoma" w:cs="Tahoma"/>
      <w:sz w:val="16"/>
      <w:szCs w:val="16"/>
    </w:rPr>
  </w:style>
  <w:style w:type="table" w:styleId="TableGrid">
    <w:name w:val="Table Grid"/>
    <w:basedOn w:val="TableNormal"/>
    <w:rsid w:val="00F46B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sid w:val="00283E25"/>
    <w:rPr>
      <w:sz w:val="16"/>
      <w:szCs w:val="16"/>
    </w:rPr>
  </w:style>
  <w:style w:type="paragraph" w:styleId="CommentText">
    <w:name w:val="annotation text"/>
    <w:basedOn w:val="Normal"/>
    <w:semiHidden/>
    <w:rsid w:val="00283E25"/>
    <w:rPr>
      <w:sz w:val="20"/>
    </w:rPr>
  </w:style>
  <w:style w:type="paragraph" w:styleId="CommentSubject">
    <w:name w:val="annotation subject"/>
    <w:basedOn w:val="CommentText"/>
    <w:next w:val="CommentText"/>
    <w:semiHidden/>
    <w:rsid w:val="00283E25"/>
    <w:rPr>
      <w:b/>
      <w:bCs/>
    </w:rPr>
  </w:style>
  <w:style w:type="paragraph" w:styleId="TOC1">
    <w:name w:val="toc 1"/>
    <w:basedOn w:val="Normal"/>
    <w:next w:val="Normal"/>
    <w:autoRedefine/>
    <w:uiPriority w:val="39"/>
    <w:rsid w:val="0067291B"/>
    <w:pPr>
      <w:tabs>
        <w:tab w:val="left" w:pos="720"/>
        <w:tab w:val="right" w:leader="dot" w:pos="11510"/>
      </w:tabs>
    </w:pPr>
    <w:rPr>
      <w:b/>
      <w:sz w:val="28"/>
      <w:szCs w:val="28"/>
    </w:rPr>
  </w:style>
  <w:style w:type="paragraph" w:styleId="ListParagraph">
    <w:name w:val="List Paragraph"/>
    <w:basedOn w:val="Normal"/>
    <w:uiPriority w:val="34"/>
    <w:qFormat/>
    <w:rsid w:val="00F172A6"/>
    <w:pPr>
      <w:ind w:left="720"/>
    </w:pPr>
  </w:style>
  <w:style w:type="character" w:customStyle="1" w:styleId="Heading4Char">
    <w:name w:val="Heading 4 Char"/>
    <w:basedOn w:val="DefaultParagraphFont"/>
    <w:link w:val="Heading4"/>
    <w:rsid w:val="00403011"/>
    <w:rPr>
      <w:rFonts w:ascii="Calibri" w:eastAsia="Times New Roman" w:hAnsi="Calibri" w:cs="Times New Roman"/>
      <w:b/>
      <w:bCs/>
      <w:sz w:val="28"/>
      <w:szCs w:val="28"/>
    </w:rPr>
  </w:style>
  <w:style w:type="character" w:customStyle="1" w:styleId="HeaderChar">
    <w:name w:val="Header Char"/>
    <w:basedOn w:val="DefaultParagraphFont"/>
    <w:link w:val="Header"/>
    <w:rsid w:val="00527809"/>
    <w:rPr>
      <w:sz w:val="24"/>
    </w:rPr>
  </w:style>
  <w:style w:type="character" w:styleId="Hyperlink">
    <w:name w:val="Hyperlink"/>
    <w:basedOn w:val="DefaultParagraphFont"/>
    <w:rsid w:val="00DD6D2E"/>
    <w:rPr>
      <w:color w:val="0000FF"/>
      <w:u w:val="single"/>
    </w:rPr>
  </w:style>
  <w:style w:type="paragraph" w:styleId="Caption">
    <w:name w:val="caption"/>
    <w:basedOn w:val="Normal"/>
    <w:next w:val="Normal"/>
    <w:qFormat/>
    <w:rsid w:val="003078C1"/>
    <w:pPr>
      <w:spacing w:before="120" w:after="60"/>
      <w:jc w:val="center"/>
    </w:pPr>
    <w:rPr>
      <w:b/>
      <w:bCs/>
    </w:rPr>
  </w:style>
  <w:style w:type="paragraph" w:styleId="Title">
    <w:name w:val="Title"/>
    <w:basedOn w:val="Normal"/>
    <w:qFormat/>
    <w:rsid w:val="0067291B"/>
    <w:pPr>
      <w:spacing w:before="240" w:after="60"/>
      <w:jc w:val="center"/>
    </w:pPr>
    <w:rPr>
      <w:rFonts w:ascii="Arial" w:hAnsi="Arial" w:cs="Arial"/>
      <w:b/>
      <w:bCs/>
      <w:kern w:val="28"/>
      <w:sz w:val="32"/>
      <w:szCs w:val="32"/>
    </w:rPr>
  </w:style>
  <w:style w:type="paragraph" w:customStyle="1" w:styleId="TableTitles">
    <w:name w:val="Table Titles"/>
    <w:basedOn w:val="Normal"/>
    <w:rsid w:val="00C64E57"/>
    <w:pPr>
      <w:jc w:val="center"/>
    </w:pPr>
    <w:rPr>
      <w:rFonts w:ascii="Arial" w:hAnsi="Arial"/>
      <w:b/>
      <w:bCs/>
    </w:rPr>
  </w:style>
  <w:style w:type="character" w:customStyle="1" w:styleId="Heading1Char">
    <w:name w:val="Heading 1 Char"/>
    <w:basedOn w:val="DefaultParagraphFont"/>
    <w:link w:val="Heading1"/>
    <w:rsid w:val="00B753DB"/>
    <w:rPr>
      <w:rFonts w:ascii="Arial" w:hAnsi="Arial" w:cs="Arial"/>
      <w:b/>
      <w:bCs/>
      <w:kern w:val="32"/>
      <w:sz w:val="32"/>
      <w:szCs w:val="32"/>
    </w:rPr>
  </w:style>
  <w:style w:type="character" w:customStyle="1" w:styleId="Heading2Char">
    <w:name w:val="Heading 2 Char"/>
    <w:basedOn w:val="DefaultParagraphFont"/>
    <w:link w:val="Heading2"/>
    <w:rsid w:val="002A0B06"/>
    <w:rPr>
      <w:rFonts w:ascii="Arial" w:hAnsi="Arial" w:cs="Arial"/>
      <w:b/>
      <w:bCs/>
      <w:i/>
      <w:iCs/>
      <w:sz w:val="28"/>
      <w:szCs w:val="28"/>
    </w:rPr>
  </w:style>
  <w:style w:type="paragraph" w:styleId="TOC2">
    <w:name w:val="toc 2"/>
    <w:basedOn w:val="Normal"/>
    <w:next w:val="Normal"/>
    <w:autoRedefine/>
    <w:uiPriority w:val="39"/>
    <w:rsid w:val="00D06607"/>
    <w:pPr>
      <w:ind w:left="240"/>
    </w:pPr>
  </w:style>
  <w:style w:type="character" w:styleId="SubtleReference">
    <w:name w:val="Subtle Reference"/>
    <w:basedOn w:val="DefaultParagraphFont"/>
    <w:uiPriority w:val="31"/>
    <w:qFormat/>
    <w:rsid w:val="001E0AF4"/>
    <w:rPr>
      <w:smallCaps/>
      <w:color w:val="C0504D" w:themeColor="accent2"/>
      <w:u w:val="single"/>
    </w:rPr>
  </w:style>
  <w:style w:type="character" w:customStyle="1" w:styleId="Heading3Char">
    <w:name w:val="Heading 3 Char"/>
    <w:basedOn w:val="DefaultParagraphFont"/>
    <w:link w:val="Heading3"/>
    <w:rsid w:val="004B741A"/>
    <w:rPr>
      <w:rFonts w:asciiTheme="majorHAnsi" w:eastAsiaTheme="majorEastAsia" w:hAnsiTheme="majorHAnsi" w:cstheme="majorBidi"/>
      <w:b/>
      <w:bCs/>
      <w:sz w:val="26"/>
      <w:szCs w:val="26"/>
    </w:rPr>
  </w:style>
  <w:style w:type="paragraph" w:styleId="TOC3">
    <w:name w:val="toc 3"/>
    <w:basedOn w:val="Normal"/>
    <w:next w:val="Normal"/>
    <w:autoRedefine/>
    <w:uiPriority w:val="39"/>
    <w:rsid w:val="008259FC"/>
    <w:pPr>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591539">
      <w:bodyDiv w:val="1"/>
      <w:marLeft w:val="0"/>
      <w:marRight w:val="0"/>
      <w:marTop w:val="0"/>
      <w:marBottom w:val="0"/>
      <w:divBdr>
        <w:top w:val="none" w:sz="0" w:space="0" w:color="auto"/>
        <w:left w:val="none" w:sz="0" w:space="0" w:color="auto"/>
        <w:bottom w:val="none" w:sz="0" w:space="0" w:color="auto"/>
        <w:right w:val="none" w:sz="0" w:space="0" w:color="auto"/>
      </w:divBdr>
    </w:div>
    <w:div w:id="98641320">
      <w:bodyDiv w:val="1"/>
      <w:marLeft w:val="0"/>
      <w:marRight w:val="0"/>
      <w:marTop w:val="0"/>
      <w:marBottom w:val="0"/>
      <w:divBdr>
        <w:top w:val="none" w:sz="0" w:space="0" w:color="auto"/>
        <w:left w:val="none" w:sz="0" w:space="0" w:color="auto"/>
        <w:bottom w:val="none" w:sz="0" w:space="0" w:color="auto"/>
        <w:right w:val="none" w:sz="0" w:space="0" w:color="auto"/>
      </w:divBdr>
    </w:div>
    <w:div w:id="262231368">
      <w:bodyDiv w:val="1"/>
      <w:marLeft w:val="0"/>
      <w:marRight w:val="0"/>
      <w:marTop w:val="0"/>
      <w:marBottom w:val="0"/>
      <w:divBdr>
        <w:top w:val="none" w:sz="0" w:space="0" w:color="auto"/>
        <w:left w:val="none" w:sz="0" w:space="0" w:color="auto"/>
        <w:bottom w:val="none" w:sz="0" w:space="0" w:color="auto"/>
        <w:right w:val="none" w:sz="0" w:space="0" w:color="auto"/>
      </w:divBdr>
    </w:div>
    <w:div w:id="268244369">
      <w:bodyDiv w:val="1"/>
      <w:marLeft w:val="0"/>
      <w:marRight w:val="0"/>
      <w:marTop w:val="0"/>
      <w:marBottom w:val="0"/>
      <w:divBdr>
        <w:top w:val="none" w:sz="0" w:space="0" w:color="auto"/>
        <w:left w:val="none" w:sz="0" w:space="0" w:color="auto"/>
        <w:bottom w:val="none" w:sz="0" w:space="0" w:color="auto"/>
        <w:right w:val="none" w:sz="0" w:space="0" w:color="auto"/>
      </w:divBdr>
    </w:div>
    <w:div w:id="283275277">
      <w:bodyDiv w:val="1"/>
      <w:marLeft w:val="0"/>
      <w:marRight w:val="0"/>
      <w:marTop w:val="0"/>
      <w:marBottom w:val="0"/>
      <w:divBdr>
        <w:top w:val="none" w:sz="0" w:space="0" w:color="auto"/>
        <w:left w:val="none" w:sz="0" w:space="0" w:color="auto"/>
        <w:bottom w:val="none" w:sz="0" w:space="0" w:color="auto"/>
        <w:right w:val="none" w:sz="0" w:space="0" w:color="auto"/>
      </w:divBdr>
    </w:div>
    <w:div w:id="356278525">
      <w:bodyDiv w:val="1"/>
      <w:marLeft w:val="0"/>
      <w:marRight w:val="0"/>
      <w:marTop w:val="0"/>
      <w:marBottom w:val="0"/>
      <w:divBdr>
        <w:top w:val="none" w:sz="0" w:space="0" w:color="auto"/>
        <w:left w:val="none" w:sz="0" w:space="0" w:color="auto"/>
        <w:bottom w:val="none" w:sz="0" w:space="0" w:color="auto"/>
        <w:right w:val="none" w:sz="0" w:space="0" w:color="auto"/>
      </w:divBdr>
    </w:div>
    <w:div w:id="440413413">
      <w:bodyDiv w:val="1"/>
      <w:marLeft w:val="0"/>
      <w:marRight w:val="0"/>
      <w:marTop w:val="0"/>
      <w:marBottom w:val="0"/>
      <w:divBdr>
        <w:top w:val="none" w:sz="0" w:space="0" w:color="auto"/>
        <w:left w:val="none" w:sz="0" w:space="0" w:color="auto"/>
        <w:bottom w:val="none" w:sz="0" w:space="0" w:color="auto"/>
        <w:right w:val="none" w:sz="0" w:space="0" w:color="auto"/>
      </w:divBdr>
    </w:div>
    <w:div w:id="479659237">
      <w:bodyDiv w:val="1"/>
      <w:marLeft w:val="0"/>
      <w:marRight w:val="0"/>
      <w:marTop w:val="0"/>
      <w:marBottom w:val="0"/>
      <w:divBdr>
        <w:top w:val="none" w:sz="0" w:space="0" w:color="auto"/>
        <w:left w:val="none" w:sz="0" w:space="0" w:color="auto"/>
        <w:bottom w:val="none" w:sz="0" w:space="0" w:color="auto"/>
        <w:right w:val="none" w:sz="0" w:space="0" w:color="auto"/>
      </w:divBdr>
    </w:div>
    <w:div w:id="563101133">
      <w:bodyDiv w:val="1"/>
      <w:marLeft w:val="0"/>
      <w:marRight w:val="0"/>
      <w:marTop w:val="0"/>
      <w:marBottom w:val="0"/>
      <w:divBdr>
        <w:top w:val="none" w:sz="0" w:space="0" w:color="auto"/>
        <w:left w:val="none" w:sz="0" w:space="0" w:color="auto"/>
        <w:bottom w:val="none" w:sz="0" w:space="0" w:color="auto"/>
        <w:right w:val="none" w:sz="0" w:space="0" w:color="auto"/>
      </w:divBdr>
    </w:div>
    <w:div w:id="815805278">
      <w:bodyDiv w:val="1"/>
      <w:marLeft w:val="0"/>
      <w:marRight w:val="0"/>
      <w:marTop w:val="0"/>
      <w:marBottom w:val="0"/>
      <w:divBdr>
        <w:top w:val="none" w:sz="0" w:space="0" w:color="auto"/>
        <w:left w:val="none" w:sz="0" w:space="0" w:color="auto"/>
        <w:bottom w:val="none" w:sz="0" w:space="0" w:color="auto"/>
        <w:right w:val="none" w:sz="0" w:space="0" w:color="auto"/>
      </w:divBdr>
    </w:div>
    <w:div w:id="832375500">
      <w:bodyDiv w:val="1"/>
      <w:marLeft w:val="0"/>
      <w:marRight w:val="0"/>
      <w:marTop w:val="0"/>
      <w:marBottom w:val="0"/>
      <w:divBdr>
        <w:top w:val="none" w:sz="0" w:space="0" w:color="auto"/>
        <w:left w:val="none" w:sz="0" w:space="0" w:color="auto"/>
        <w:bottom w:val="none" w:sz="0" w:space="0" w:color="auto"/>
        <w:right w:val="none" w:sz="0" w:space="0" w:color="auto"/>
      </w:divBdr>
    </w:div>
    <w:div w:id="838038290">
      <w:bodyDiv w:val="1"/>
      <w:marLeft w:val="0"/>
      <w:marRight w:val="0"/>
      <w:marTop w:val="0"/>
      <w:marBottom w:val="0"/>
      <w:divBdr>
        <w:top w:val="none" w:sz="0" w:space="0" w:color="auto"/>
        <w:left w:val="none" w:sz="0" w:space="0" w:color="auto"/>
        <w:bottom w:val="none" w:sz="0" w:space="0" w:color="auto"/>
        <w:right w:val="none" w:sz="0" w:space="0" w:color="auto"/>
      </w:divBdr>
    </w:div>
    <w:div w:id="1010714243">
      <w:bodyDiv w:val="1"/>
      <w:marLeft w:val="0"/>
      <w:marRight w:val="0"/>
      <w:marTop w:val="0"/>
      <w:marBottom w:val="0"/>
      <w:divBdr>
        <w:top w:val="none" w:sz="0" w:space="0" w:color="auto"/>
        <w:left w:val="none" w:sz="0" w:space="0" w:color="auto"/>
        <w:bottom w:val="none" w:sz="0" w:space="0" w:color="auto"/>
        <w:right w:val="none" w:sz="0" w:space="0" w:color="auto"/>
      </w:divBdr>
    </w:div>
    <w:div w:id="1122919786">
      <w:bodyDiv w:val="1"/>
      <w:marLeft w:val="0"/>
      <w:marRight w:val="0"/>
      <w:marTop w:val="0"/>
      <w:marBottom w:val="0"/>
      <w:divBdr>
        <w:top w:val="none" w:sz="0" w:space="0" w:color="auto"/>
        <w:left w:val="none" w:sz="0" w:space="0" w:color="auto"/>
        <w:bottom w:val="none" w:sz="0" w:space="0" w:color="auto"/>
        <w:right w:val="none" w:sz="0" w:space="0" w:color="auto"/>
      </w:divBdr>
    </w:div>
    <w:div w:id="1506358841">
      <w:bodyDiv w:val="1"/>
      <w:marLeft w:val="0"/>
      <w:marRight w:val="0"/>
      <w:marTop w:val="0"/>
      <w:marBottom w:val="0"/>
      <w:divBdr>
        <w:top w:val="none" w:sz="0" w:space="0" w:color="auto"/>
        <w:left w:val="none" w:sz="0" w:space="0" w:color="auto"/>
        <w:bottom w:val="none" w:sz="0" w:space="0" w:color="auto"/>
        <w:right w:val="none" w:sz="0" w:space="0" w:color="auto"/>
      </w:divBdr>
    </w:div>
    <w:div w:id="1571889991">
      <w:bodyDiv w:val="1"/>
      <w:marLeft w:val="0"/>
      <w:marRight w:val="0"/>
      <w:marTop w:val="0"/>
      <w:marBottom w:val="0"/>
      <w:divBdr>
        <w:top w:val="none" w:sz="0" w:space="0" w:color="auto"/>
        <w:left w:val="none" w:sz="0" w:space="0" w:color="auto"/>
        <w:bottom w:val="none" w:sz="0" w:space="0" w:color="auto"/>
        <w:right w:val="none" w:sz="0" w:space="0" w:color="auto"/>
      </w:divBdr>
    </w:div>
    <w:div w:id="1637951365">
      <w:bodyDiv w:val="1"/>
      <w:marLeft w:val="0"/>
      <w:marRight w:val="0"/>
      <w:marTop w:val="0"/>
      <w:marBottom w:val="0"/>
      <w:divBdr>
        <w:top w:val="none" w:sz="0" w:space="0" w:color="auto"/>
        <w:left w:val="none" w:sz="0" w:space="0" w:color="auto"/>
        <w:bottom w:val="none" w:sz="0" w:space="0" w:color="auto"/>
        <w:right w:val="none" w:sz="0" w:space="0" w:color="auto"/>
      </w:divBdr>
    </w:div>
    <w:div w:id="1912688417">
      <w:bodyDiv w:val="1"/>
      <w:marLeft w:val="0"/>
      <w:marRight w:val="0"/>
      <w:marTop w:val="0"/>
      <w:marBottom w:val="0"/>
      <w:divBdr>
        <w:top w:val="none" w:sz="0" w:space="0" w:color="auto"/>
        <w:left w:val="none" w:sz="0" w:space="0" w:color="auto"/>
        <w:bottom w:val="none" w:sz="0" w:space="0" w:color="auto"/>
        <w:right w:val="none" w:sz="0" w:space="0" w:color="auto"/>
      </w:divBdr>
    </w:div>
    <w:div w:id="2028486102">
      <w:bodyDiv w:val="1"/>
      <w:marLeft w:val="0"/>
      <w:marRight w:val="0"/>
      <w:marTop w:val="0"/>
      <w:marBottom w:val="0"/>
      <w:divBdr>
        <w:top w:val="none" w:sz="0" w:space="0" w:color="auto"/>
        <w:left w:val="none" w:sz="0" w:space="0" w:color="auto"/>
        <w:bottom w:val="none" w:sz="0" w:space="0" w:color="auto"/>
        <w:right w:val="none" w:sz="0" w:space="0" w:color="auto"/>
      </w:divBdr>
    </w:div>
    <w:div w:id="2034647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588D63-FCE5-46A1-9B4B-46104CB04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2055</Words>
  <Characters>11716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REFERENCED DOCUMENTS_____   SPECIAL NOTES</vt:lpstr>
    </vt:vector>
  </TitlesOfParts>
  <Company>Microsoft</Company>
  <LinksUpToDate>false</LinksUpToDate>
  <CharactersWithSpaces>13744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REFERENCED DOCUMENTS_____   SPECIAL NOTES</dc:title>
  <dc:creator>Fred Gomes</dc:creator>
  <cp:lastModifiedBy>HuaZhen Luo</cp:lastModifiedBy>
  <cp:revision>2</cp:revision>
  <cp:lastPrinted>2014-05-08T14:18:00Z</cp:lastPrinted>
  <dcterms:created xsi:type="dcterms:W3CDTF">2018-10-26T01:44:00Z</dcterms:created>
  <dcterms:modified xsi:type="dcterms:W3CDTF">2018-10-26T01:44:00Z</dcterms:modified>
</cp:coreProperties>
</file>