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5FE" w:rsidRDefault="00944C75" w:rsidP="00E36EE6">
      <w:pPr>
        <w:spacing w:before="120" w:after="120"/>
        <w:ind w:left="90"/>
      </w:pPr>
      <w:r>
        <w:rPr>
          <w:noProof/>
          <w:lang w:val="en-SG" w:eastAsia="zh-CN"/>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6847205" cy="800100"/>
            <wp:effectExtent l="19050" t="0" r="0" b="0"/>
            <wp:wrapNone/>
            <wp:docPr id="5" name="Picture 4" descr="Waters Memo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ters Memo Header"/>
                    <pic:cNvPicPr>
                      <a:picLocks noChangeAspect="1" noChangeArrowheads="1"/>
                    </pic:cNvPicPr>
                  </pic:nvPicPr>
                  <pic:blipFill>
                    <a:blip r:embed="rId8" cstate="print"/>
                    <a:srcRect b="33961"/>
                    <a:stretch>
                      <a:fillRect/>
                    </a:stretch>
                  </pic:blipFill>
                  <pic:spPr bwMode="auto">
                    <a:xfrm>
                      <a:off x="0" y="0"/>
                      <a:ext cx="6847205" cy="800100"/>
                    </a:xfrm>
                    <a:prstGeom prst="rect">
                      <a:avLst/>
                    </a:prstGeom>
                    <a:noFill/>
                    <a:ln w="9525">
                      <a:noFill/>
                      <a:miter lim="800000"/>
                      <a:headEnd/>
                      <a:tailEnd/>
                    </a:ln>
                  </pic:spPr>
                </pic:pic>
              </a:graphicData>
            </a:graphic>
          </wp:anchor>
        </w:drawing>
      </w:r>
    </w:p>
    <w:p w:rsidR="00F975FE" w:rsidRDefault="00F975FE" w:rsidP="00E36EE6">
      <w:pPr>
        <w:spacing w:before="120" w:after="120"/>
        <w:ind w:left="90"/>
      </w:pPr>
    </w:p>
    <w:p w:rsidR="00F975FE" w:rsidRDefault="00F975FE" w:rsidP="00E36EE6">
      <w:pPr>
        <w:spacing w:before="120" w:after="120"/>
        <w:ind w:left="90"/>
      </w:pPr>
    </w:p>
    <w:p w:rsidR="00B738D4" w:rsidRPr="00B738D4" w:rsidRDefault="00B738D4" w:rsidP="00E36EE6">
      <w:pPr>
        <w:spacing w:before="120" w:after="120"/>
        <w:ind w:left="90"/>
        <w:jc w:val="right"/>
        <w:rPr>
          <w:rFonts w:ascii="Verdana" w:hAnsi="Verdana"/>
          <w:sz w:val="16"/>
          <w:szCs w:val="16"/>
          <w:lang w:val="de-DE"/>
        </w:rPr>
      </w:pPr>
      <w:r w:rsidRPr="00B738D4">
        <w:rPr>
          <w:rFonts w:ascii="Verdana" w:hAnsi="Verdana"/>
          <w:sz w:val="16"/>
          <w:szCs w:val="16"/>
          <w:lang w:val="de-DE"/>
        </w:rPr>
        <w:t xml:space="preserve">34 Maple Street Milford, MA 01757-3696 U.S.A. </w:t>
      </w:r>
    </w:p>
    <w:p w:rsidR="00B738D4" w:rsidRPr="00B738D4" w:rsidRDefault="00B738D4" w:rsidP="00E36EE6">
      <w:pPr>
        <w:spacing w:before="120" w:after="120"/>
        <w:ind w:left="90"/>
        <w:jc w:val="right"/>
        <w:rPr>
          <w:rFonts w:ascii="Verdana" w:hAnsi="Verdana"/>
          <w:sz w:val="14"/>
          <w:szCs w:val="14"/>
          <w:lang w:val="de-DE"/>
        </w:rPr>
      </w:pPr>
      <w:r w:rsidRPr="00B738D4">
        <w:rPr>
          <w:rFonts w:ascii="Verdana" w:hAnsi="Verdana"/>
          <w:b/>
          <w:sz w:val="14"/>
          <w:szCs w:val="14"/>
          <w:lang w:val="de-DE"/>
        </w:rPr>
        <w:t xml:space="preserve">[T] </w:t>
      </w:r>
      <w:r w:rsidRPr="00B738D4">
        <w:rPr>
          <w:rFonts w:ascii="Verdana" w:hAnsi="Verdana"/>
          <w:sz w:val="14"/>
          <w:szCs w:val="14"/>
          <w:lang w:val="de-DE"/>
        </w:rPr>
        <w:t>508.478.2000</w:t>
      </w:r>
      <w:r w:rsidRPr="00B738D4">
        <w:rPr>
          <w:rFonts w:ascii="Verdana" w:hAnsi="Verdana"/>
          <w:b/>
          <w:sz w:val="14"/>
          <w:szCs w:val="14"/>
          <w:lang w:val="de-DE"/>
        </w:rPr>
        <w:t xml:space="preserve">     [T] </w:t>
      </w:r>
      <w:r w:rsidRPr="00B738D4">
        <w:rPr>
          <w:rFonts w:ascii="Verdana" w:hAnsi="Verdana"/>
          <w:sz w:val="14"/>
          <w:szCs w:val="14"/>
          <w:lang w:val="de-DE"/>
        </w:rPr>
        <w:t>1.800.252.4752</w:t>
      </w:r>
      <w:r w:rsidRPr="00B738D4">
        <w:rPr>
          <w:rFonts w:ascii="Verdana" w:hAnsi="Verdana"/>
          <w:b/>
          <w:sz w:val="14"/>
          <w:szCs w:val="14"/>
          <w:lang w:val="de-DE"/>
        </w:rPr>
        <w:t xml:space="preserve">     [F] </w:t>
      </w:r>
      <w:r w:rsidRPr="00B738D4">
        <w:rPr>
          <w:rFonts w:ascii="Verdana" w:hAnsi="Verdana"/>
          <w:sz w:val="14"/>
          <w:szCs w:val="14"/>
          <w:lang w:val="de-DE"/>
        </w:rPr>
        <w:t>508.872.1990</w:t>
      </w:r>
      <w:r w:rsidRPr="00B738D4">
        <w:rPr>
          <w:rFonts w:ascii="Verdana" w:hAnsi="Verdana"/>
          <w:b/>
          <w:sz w:val="14"/>
          <w:szCs w:val="14"/>
          <w:lang w:val="de-DE"/>
        </w:rPr>
        <w:t xml:space="preserve">     [W] </w:t>
      </w:r>
      <w:r w:rsidRPr="00B738D4">
        <w:rPr>
          <w:rFonts w:ascii="Verdana" w:hAnsi="Verdana"/>
          <w:sz w:val="14"/>
          <w:szCs w:val="14"/>
          <w:lang w:val="de-DE"/>
        </w:rPr>
        <w:t xml:space="preserve">www.waters.com </w:t>
      </w:r>
    </w:p>
    <w:p w:rsidR="000804DB" w:rsidRDefault="00181CAC" w:rsidP="00D441C2">
      <w:pPr>
        <w:tabs>
          <w:tab w:val="left" w:pos="720"/>
        </w:tabs>
        <w:spacing w:after="120" w:line="360" w:lineRule="auto"/>
        <w:ind w:left="86"/>
        <w:rPr>
          <w:rFonts w:ascii="Verdana" w:hAnsi="Verdana" w:cs="Arial"/>
          <w:sz w:val="18"/>
          <w:szCs w:val="18"/>
        </w:rPr>
      </w:pPr>
      <w:r>
        <w:rPr>
          <w:rFonts w:ascii="Verdana" w:hAnsi="Verdana" w:cs="Arial"/>
          <w:sz w:val="18"/>
          <w:szCs w:val="18"/>
        </w:rPr>
        <w:t>To: File</w:t>
      </w:r>
      <w:r w:rsidR="00DC4C04">
        <w:rPr>
          <w:rFonts w:ascii="Verdana" w:hAnsi="Verdana" w:cs="Arial"/>
          <w:sz w:val="18"/>
          <w:szCs w:val="18"/>
        </w:rPr>
        <w:t xml:space="preserve"> located in SAP DIR TE0082943EQ</w:t>
      </w:r>
    </w:p>
    <w:p w:rsidR="00DF26FA" w:rsidRDefault="00DF26FA" w:rsidP="00D441C2">
      <w:pPr>
        <w:tabs>
          <w:tab w:val="left" w:pos="720"/>
        </w:tabs>
        <w:spacing w:after="120" w:line="360" w:lineRule="auto"/>
        <w:ind w:left="86"/>
        <w:rPr>
          <w:rFonts w:ascii="Verdana" w:hAnsi="Verdana" w:cs="Arial"/>
          <w:sz w:val="18"/>
          <w:szCs w:val="18"/>
        </w:rPr>
      </w:pPr>
      <w:r>
        <w:rPr>
          <w:rFonts w:ascii="Verdana" w:hAnsi="Verdana" w:cs="Arial"/>
          <w:sz w:val="18"/>
          <w:szCs w:val="18"/>
        </w:rPr>
        <w:t>From: Ed Jackson</w:t>
      </w:r>
    </w:p>
    <w:p w:rsidR="00F975FE" w:rsidRPr="00F975FE" w:rsidRDefault="00F975FE" w:rsidP="00D441C2">
      <w:pPr>
        <w:tabs>
          <w:tab w:val="left" w:pos="720"/>
        </w:tabs>
        <w:spacing w:after="120" w:line="360" w:lineRule="auto"/>
        <w:ind w:left="86"/>
        <w:rPr>
          <w:rFonts w:ascii="Verdana" w:hAnsi="Verdana" w:cs="Arial"/>
          <w:sz w:val="18"/>
          <w:szCs w:val="18"/>
        </w:rPr>
      </w:pPr>
      <w:r w:rsidRPr="00F975FE">
        <w:rPr>
          <w:rFonts w:ascii="Verdana" w:hAnsi="Verdana" w:cs="Arial"/>
          <w:sz w:val="18"/>
          <w:szCs w:val="18"/>
        </w:rPr>
        <w:t>Date:</w:t>
      </w:r>
      <w:r w:rsidRPr="00F975FE">
        <w:rPr>
          <w:rFonts w:ascii="Verdana" w:hAnsi="Verdana" w:cs="Arial"/>
          <w:sz w:val="18"/>
          <w:szCs w:val="18"/>
        </w:rPr>
        <w:tab/>
      </w:r>
      <w:r w:rsidR="009831CD">
        <w:rPr>
          <w:rFonts w:ascii="Verdana" w:hAnsi="Verdana" w:cs="Arial"/>
          <w:sz w:val="18"/>
          <w:szCs w:val="18"/>
        </w:rPr>
        <w:t>Jan 24</w:t>
      </w:r>
      <w:r w:rsidR="00D441C2">
        <w:rPr>
          <w:rFonts w:ascii="Verdana" w:hAnsi="Verdana" w:cs="Arial"/>
          <w:sz w:val="18"/>
          <w:szCs w:val="18"/>
        </w:rPr>
        <w:t>, 201</w:t>
      </w:r>
      <w:r w:rsidR="009831CD">
        <w:rPr>
          <w:rFonts w:ascii="Verdana" w:hAnsi="Verdana" w:cs="Arial"/>
          <w:sz w:val="18"/>
          <w:szCs w:val="18"/>
        </w:rPr>
        <w:t>7</w:t>
      </w:r>
    </w:p>
    <w:p w:rsidR="00F975FE" w:rsidRPr="00F975FE" w:rsidRDefault="00F975FE" w:rsidP="005922B6">
      <w:pPr>
        <w:tabs>
          <w:tab w:val="left" w:pos="720"/>
        </w:tabs>
        <w:spacing w:after="120" w:line="360" w:lineRule="auto"/>
        <w:ind w:left="86"/>
        <w:rPr>
          <w:rFonts w:ascii="Verdana" w:hAnsi="Verdana" w:cs="Arial"/>
          <w:sz w:val="18"/>
          <w:szCs w:val="18"/>
        </w:rPr>
      </w:pPr>
      <w:r w:rsidRPr="00F975FE">
        <w:rPr>
          <w:rFonts w:ascii="Verdana" w:hAnsi="Verdana" w:cs="Arial"/>
          <w:sz w:val="18"/>
          <w:szCs w:val="18"/>
        </w:rPr>
        <w:t>Re:</w:t>
      </w:r>
      <w:r w:rsidR="0010596C">
        <w:rPr>
          <w:rFonts w:ascii="Verdana" w:hAnsi="Verdana" w:cs="Arial"/>
          <w:sz w:val="18"/>
          <w:szCs w:val="18"/>
        </w:rPr>
        <w:t xml:space="preserve"> Rationale to </w:t>
      </w:r>
      <w:r w:rsidR="00BA1F0D">
        <w:rPr>
          <w:rFonts w:ascii="Verdana" w:hAnsi="Verdana" w:cs="Arial"/>
          <w:sz w:val="18"/>
          <w:szCs w:val="18"/>
        </w:rPr>
        <w:t xml:space="preserve">justify Acquity </w:t>
      </w:r>
      <w:r w:rsidR="00DE485F">
        <w:rPr>
          <w:rFonts w:ascii="Verdana" w:hAnsi="Verdana" w:cs="Arial"/>
          <w:sz w:val="18"/>
          <w:szCs w:val="18"/>
        </w:rPr>
        <w:t xml:space="preserve">BSM </w:t>
      </w:r>
      <w:r w:rsidR="00181CAC">
        <w:rPr>
          <w:rFonts w:ascii="Verdana" w:hAnsi="Verdana" w:cs="Arial"/>
          <w:sz w:val="18"/>
          <w:szCs w:val="18"/>
        </w:rPr>
        <w:t xml:space="preserve">pump </w:t>
      </w:r>
      <w:r w:rsidR="00DE485F">
        <w:rPr>
          <w:rFonts w:ascii="Verdana" w:hAnsi="Verdana" w:cs="Arial"/>
          <w:sz w:val="18"/>
          <w:szCs w:val="18"/>
        </w:rPr>
        <w:t>High Pressure</w:t>
      </w:r>
      <w:r w:rsidR="00181CAC">
        <w:rPr>
          <w:rFonts w:ascii="Verdana" w:hAnsi="Verdana" w:cs="Arial"/>
          <w:sz w:val="18"/>
          <w:szCs w:val="18"/>
        </w:rPr>
        <w:t xml:space="preserve"> </w:t>
      </w:r>
      <w:r w:rsidR="00BA1F0D">
        <w:rPr>
          <w:rFonts w:ascii="Verdana" w:hAnsi="Verdana" w:cs="Arial"/>
          <w:sz w:val="18"/>
          <w:szCs w:val="18"/>
        </w:rPr>
        <w:t xml:space="preserve">testing on </w:t>
      </w:r>
      <w:r w:rsidR="00FD17C8">
        <w:rPr>
          <w:rFonts w:ascii="Verdana" w:hAnsi="Verdana" w:cs="Arial"/>
          <w:sz w:val="18"/>
          <w:szCs w:val="18"/>
        </w:rPr>
        <w:t xml:space="preserve">the </w:t>
      </w:r>
      <w:r w:rsidR="00BA1F0D">
        <w:rPr>
          <w:rFonts w:ascii="Verdana" w:hAnsi="Verdana" w:cs="Arial"/>
          <w:sz w:val="18"/>
          <w:szCs w:val="18"/>
        </w:rPr>
        <w:t>TE82943 Tester</w:t>
      </w:r>
      <w:r w:rsidR="00C266A4">
        <w:rPr>
          <w:rFonts w:ascii="Verdana" w:hAnsi="Verdana" w:cs="Arial"/>
          <w:sz w:val="18"/>
          <w:szCs w:val="18"/>
        </w:rPr>
        <w:t>.</w:t>
      </w:r>
    </w:p>
    <w:p w:rsidR="00E36EE6" w:rsidRDefault="00FF1836" w:rsidP="00E36EE6">
      <w:pPr>
        <w:tabs>
          <w:tab w:val="left" w:pos="720"/>
        </w:tabs>
        <w:spacing w:before="120" w:after="120"/>
        <w:ind w:left="90"/>
      </w:pPr>
      <w:r>
        <w:rPr>
          <w:noProof/>
          <w:lang w:val="en-SG" w:eastAsia="zh-CN"/>
        </w:rPr>
        <mc:AlternateContent>
          <mc:Choice Requires="wps">
            <w:drawing>
              <wp:anchor distT="0" distB="0" distL="114300" distR="114300" simplePos="0" relativeHeight="251657216" behindDoc="0" locked="1" layoutInCell="1" allowOverlap="1">
                <wp:simplePos x="0" y="0"/>
                <wp:positionH relativeFrom="column">
                  <wp:posOffset>0</wp:posOffset>
                </wp:positionH>
                <wp:positionV relativeFrom="paragraph">
                  <wp:posOffset>200660</wp:posOffset>
                </wp:positionV>
                <wp:extent cx="6847205" cy="0"/>
                <wp:effectExtent l="9525" t="10160" r="10795" b="889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72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0;margin-top:15.8pt;width:539.1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b7AHgIAADs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lXiCkSI9&#10;tOh573WMjCahPINxBVhVamtDgvSoXs2Lpt8dUrrqiGp5NH47GfDNgkfyziVcnIEgu+GzZmBDAD/W&#10;6tjYPkBCFdAxtuR0awk/ekThcTbPH8fpFCN61SWkuDoa6/wnrnsUhBI7b4loO19ppaDx2mYxDDm8&#10;OB9okeLqEKIqvRFSxv5LhYYSL6bjaXRwWgoWlMHM2XZXSYsOJExQ/GKOoLk3s3qvWATrOGHri+yJ&#10;kGcZgksV8CAxoHORziPyY5Eu1vP1PB/l49l6lKd1PXreVPlotskep/Wkrqo6+xmoZXnRCca4Cuyu&#10;45rlfzcOl8U5D9ptYG9lSN6jx3oB2es/ko6dDc08j8VOs9PWXjsOExqNL9sUVuD+DvL9zq9+AQAA&#10;//8DAFBLAwQUAAYACAAAACEAui5QJdwAAAAHAQAADwAAAGRycy9kb3ducmV2LnhtbEyPwW7CMBBE&#10;75X6D9Yi9VIVOyAoTeMgVKmHHgtIvS7xNkmJ11HskJSvrxEHetyZ0czbbD3aRpyo87VjDclUgSAu&#10;nKm51LDfvT+tQPiAbLBxTBp+ycM6v7/LMDVu4E86bUMpYgn7FDVUIbSplL6oyKKfupY4et+usxji&#10;2ZXSdDjEctvImVJLabHmuFBhS28VFcdtbzWQ7xeJ2rzYcv9xHh6/Zuefod1p/TAZN68gAo3hFoYL&#10;fkSHPDIdXM/Gi0ZDfCRomCdLEBdXPa/mIA5XReaZ/M+f/wEAAP//AwBQSwECLQAUAAYACAAAACEA&#10;toM4kv4AAADhAQAAEwAAAAAAAAAAAAAAAAAAAAAAW0NvbnRlbnRfVHlwZXNdLnhtbFBLAQItABQA&#10;BgAIAAAAIQA4/SH/1gAAAJQBAAALAAAAAAAAAAAAAAAAAC8BAABfcmVscy8ucmVsc1BLAQItABQA&#10;BgAIAAAAIQBERb7AHgIAADsEAAAOAAAAAAAAAAAAAAAAAC4CAABkcnMvZTJvRG9jLnhtbFBLAQIt&#10;ABQABgAIAAAAIQC6LlAl3AAAAAcBAAAPAAAAAAAAAAAAAAAAAHgEAABkcnMvZG93bnJldi54bWxQ&#10;SwUGAAAAAAQABADzAAAAgQUAAAAA&#10;">
                <w10:anchorlock/>
              </v:shape>
            </w:pict>
          </mc:Fallback>
        </mc:AlternateContent>
      </w:r>
    </w:p>
    <w:p w:rsidR="008A2AEE" w:rsidRDefault="008A2AEE" w:rsidP="00AA44D2">
      <w:pPr>
        <w:tabs>
          <w:tab w:val="left" w:pos="720"/>
        </w:tabs>
        <w:spacing w:after="0"/>
        <w:ind w:left="90"/>
        <w:rPr>
          <w:b/>
          <w:sz w:val="24"/>
          <w:szCs w:val="24"/>
        </w:rPr>
      </w:pPr>
      <w:r>
        <w:rPr>
          <w:b/>
          <w:sz w:val="24"/>
          <w:szCs w:val="24"/>
        </w:rPr>
        <w:t>Objective</w:t>
      </w:r>
    </w:p>
    <w:p w:rsidR="008A2AEE" w:rsidRPr="008A2AEE" w:rsidRDefault="008A2AEE" w:rsidP="00AA44D2">
      <w:pPr>
        <w:tabs>
          <w:tab w:val="left" w:pos="720"/>
        </w:tabs>
        <w:spacing w:after="0"/>
        <w:ind w:left="90"/>
      </w:pPr>
      <w:r w:rsidRPr="008A2AEE">
        <w:t xml:space="preserve">The object of this report is to describe the test method and justification </w:t>
      </w:r>
      <w:r w:rsidR="00895A95">
        <w:t xml:space="preserve">of a test as a Production Support Check (PSC) </w:t>
      </w:r>
      <w:r w:rsidRPr="008A2AEE">
        <w:t xml:space="preserve">for </w:t>
      </w:r>
      <w:r w:rsidR="00DE485F">
        <w:t xml:space="preserve">performing </w:t>
      </w:r>
      <w:r w:rsidR="00895A95">
        <w:t>h</w:t>
      </w:r>
      <w:r w:rsidR="00DE485F">
        <w:t xml:space="preserve">igh </w:t>
      </w:r>
      <w:r w:rsidR="00895A95">
        <w:t>p</w:t>
      </w:r>
      <w:r w:rsidR="00DE485F">
        <w:t xml:space="preserve">ressure </w:t>
      </w:r>
      <w:r w:rsidRPr="008A2AEE">
        <w:t xml:space="preserve">testing </w:t>
      </w:r>
      <w:r w:rsidR="00DE485F">
        <w:t xml:space="preserve">of the </w:t>
      </w:r>
      <w:r w:rsidRPr="008A2AEE">
        <w:t xml:space="preserve">Acquity </w:t>
      </w:r>
      <w:r w:rsidR="00DE485F">
        <w:t>BSM</w:t>
      </w:r>
      <w:r w:rsidRPr="008A2AEE">
        <w:t xml:space="preserve"> pump</w:t>
      </w:r>
      <w:r w:rsidR="00472689">
        <w:t>,</w:t>
      </w:r>
      <w:r w:rsidRPr="008A2AEE">
        <w:t xml:space="preserve"> PN 18601</w:t>
      </w:r>
      <w:r w:rsidR="00DE485F">
        <w:t>5</w:t>
      </w:r>
      <w:r w:rsidR="00472689">
        <w:t>00</w:t>
      </w:r>
      <w:r w:rsidR="00DE485F">
        <w:t xml:space="preserve">0, PN 186015000IVD, </w:t>
      </w:r>
      <w:r w:rsidR="00472689">
        <w:t>and PN 18601</w:t>
      </w:r>
      <w:r w:rsidR="00DE485F">
        <w:t>5001</w:t>
      </w:r>
      <w:r w:rsidRPr="008A2AEE">
        <w:t xml:space="preserve">. </w:t>
      </w:r>
    </w:p>
    <w:p w:rsidR="008A2AEE" w:rsidRDefault="008A2AEE" w:rsidP="00AA44D2">
      <w:pPr>
        <w:tabs>
          <w:tab w:val="left" w:pos="720"/>
        </w:tabs>
        <w:spacing w:after="0"/>
        <w:ind w:left="90"/>
        <w:rPr>
          <w:b/>
        </w:rPr>
      </w:pPr>
    </w:p>
    <w:p w:rsidR="00DD0339" w:rsidRPr="008A2AEE" w:rsidRDefault="00DD0339" w:rsidP="00AA44D2">
      <w:pPr>
        <w:tabs>
          <w:tab w:val="left" w:pos="720"/>
        </w:tabs>
        <w:spacing w:after="0"/>
        <w:ind w:left="90"/>
        <w:rPr>
          <w:b/>
        </w:rPr>
      </w:pPr>
    </w:p>
    <w:p w:rsidR="00AA44D2" w:rsidRPr="0074142F" w:rsidRDefault="00AA44D2" w:rsidP="00AA44D2">
      <w:pPr>
        <w:tabs>
          <w:tab w:val="left" w:pos="720"/>
        </w:tabs>
        <w:spacing w:after="0"/>
        <w:ind w:left="90"/>
        <w:rPr>
          <w:b/>
          <w:sz w:val="24"/>
          <w:szCs w:val="24"/>
        </w:rPr>
      </w:pPr>
      <w:r w:rsidRPr="0074142F">
        <w:rPr>
          <w:b/>
          <w:sz w:val="24"/>
          <w:szCs w:val="24"/>
        </w:rPr>
        <w:t>Background</w:t>
      </w:r>
    </w:p>
    <w:p w:rsidR="006C1F34" w:rsidRDefault="0090001A" w:rsidP="00D0510C">
      <w:pPr>
        <w:tabs>
          <w:tab w:val="left" w:pos="720"/>
        </w:tabs>
        <w:spacing w:after="0"/>
        <w:ind w:left="90"/>
      </w:pPr>
      <w:r>
        <w:t xml:space="preserve">The High Pressure </w:t>
      </w:r>
      <w:r w:rsidR="00895A95">
        <w:t>T</w:t>
      </w:r>
      <w:r>
        <w:t xml:space="preserve">est is performed on the BSM pump at the end of all of the flow rate and dynamic leak testing.  The intent of this test is to provide confidence </w:t>
      </w:r>
      <w:r w:rsidR="00677D48">
        <w:t xml:space="preserve">in the instrument build by running the instrument at a moderate flow rate </w:t>
      </w:r>
      <w:r w:rsidR="00895A95">
        <w:t xml:space="preserve">at </w:t>
      </w:r>
      <w:r w:rsidR="00677D48">
        <w:t>high back pressure.</w:t>
      </w:r>
      <w:r w:rsidR="00497742">
        <w:t xml:space="preserve">  </w:t>
      </w:r>
      <w:r w:rsidR="00677D48">
        <w:t>The back pressure is read after a two minute run to determine if the instrument is operating as expected</w:t>
      </w:r>
      <w:r w:rsidR="00497742">
        <w:t>.</w:t>
      </w:r>
    </w:p>
    <w:p w:rsidR="002D44BD" w:rsidRDefault="002D44BD" w:rsidP="00D0510C">
      <w:pPr>
        <w:tabs>
          <w:tab w:val="left" w:pos="720"/>
        </w:tabs>
        <w:spacing w:after="0"/>
        <w:ind w:left="90"/>
      </w:pPr>
    </w:p>
    <w:p w:rsidR="00881DBB" w:rsidRDefault="00881DBB" w:rsidP="00D0510C">
      <w:pPr>
        <w:tabs>
          <w:tab w:val="left" w:pos="720"/>
        </w:tabs>
        <w:spacing w:after="0"/>
        <w:ind w:left="90"/>
      </w:pPr>
    </w:p>
    <w:p w:rsidR="00CA476F" w:rsidRPr="00CA476F" w:rsidRDefault="00CA476F" w:rsidP="00D0510C">
      <w:pPr>
        <w:tabs>
          <w:tab w:val="left" w:pos="720"/>
        </w:tabs>
        <w:spacing w:after="0"/>
        <w:ind w:left="90"/>
        <w:rPr>
          <w:b/>
          <w:sz w:val="24"/>
          <w:szCs w:val="24"/>
        </w:rPr>
      </w:pPr>
      <w:r w:rsidRPr="00CA476F">
        <w:rPr>
          <w:b/>
          <w:sz w:val="24"/>
          <w:szCs w:val="24"/>
        </w:rPr>
        <w:t>Results and Discussion</w:t>
      </w:r>
    </w:p>
    <w:p w:rsidR="00BE3AB6" w:rsidRDefault="00AD46A6" w:rsidP="00D0510C">
      <w:pPr>
        <w:tabs>
          <w:tab w:val="left" w:pos="720"/>
        </w:tabs>
        <w:spacing w:after="0"/>
        <w:ind w:left="90"/>
      </w:pPr>
      <w:r>
        <w:t xml:space="preserve">The High Pressure test is run at a flow rate of 1.0 </w:t>
      </w:r>
      <w:r w:rsidR="004B58CB">
        <w:t>mL</w:t>
      </w:r>
      <w:r>
        <w:t xml:space="preserve">/min. using 100% MeOH.  </w:t>
      </w:r>
    </w:p>
    <w:p w:rsidR="00AD46A6" w:rsidRDefault="00AD46A6" w:rsidP="00D0510C">
      <w:pPr>
        <w:tabs>
          <w:tab w:val="left" w:pos="720"/>
        </w:tabs>
        <w:spacing w:after="0"/>
        <w:ind w:left="90"/>
      </w:pPr>
      <w:r>
        <w:t>For PN 186015000 and PN 186015000IVD, the maximum back pressure specification is 18</w:t>
      </w:r>
      <w:r w:rsidR="00895A95">
        <w:t>,</w:t>
      </w:r>
      <w:r>
        <w:t xml:space="preserve">000 PSI for the 1.0 </w:t>
      </w:r>
      <w:r w:rsidR="004B58CB">
        <w:t>mL</w:t>
      </w:r>
      <w:r>
        <w:t xml:space="preserve">/min. flow rate.  This </w:t>
      </w:r>
      <w:r w:rsidR="009E004C">
        <w:t xml:space="preserve">specification </w:t>
      </w:r>
      <w:r>
        <w:t xml:space="preserve">can be referenced in the Functional Specification Document (FSD) 721001454 section 5.3.11.  </w:t>
      </w:r>
    </w:p>
    <w:p w:rsidR="00C70883" w:rsidRDefault="00C70883" w:rsidP="00D0510C">
      <w:pPr>
        <w:tabs>
          <w:tab w:val="left" w:pos="720"/>
        </w:tabs>
        <w:spacing w:after="0"/>
        <w:ind w:left="90"/>
      </w:pPr>
    </w:p>
    <w:p w:rsidR="00C70883" w:rsidRDefault="00944C75" w:rsidP="00D0510C">
      <w:pPr>
        <w:tabs>
          <w:tab w:val="left" w:pos="720"/>
        </w:tabs>
        <w:spacing w:after="0"/>
        <w:ind w:left="90"/>
      </w:pPr>
      <w:r>
        <w:rPr>
          <w:noProof/>
          <w:lang w:val="en-SG" w:eastAsia="zh-CN"/>
        </w:rPr>
        <w:drawing>
          <wp:inline distT="0" distB="0" distL="0" distR="0">
            <wp:extent cx="5534025" cy="184912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534025" cy="1849120"/>
                    </a:xfrm>
                    <a:prstGeom prst="rect">
                      <a:avLst/>
                    </a:prstGeom>
                    <a:noFill/>
                    <a:ln w="9525">
                      <a:noFill/>
                      <a:miter lim="800000"/>
                      <a:headEnd/>
                      <a:tailEnd/>
                    </a:ln>
                  </pic:spPr>
                </pic:pic>
              </a:graphicData>
            </a:graphic>
          </wp:inline>
        </w:drawing>
      </w:r>
    </w:p>
    <w:p w:rsidR="00C70883" w:rsidRDefault="00C70883" w:rsidP="00D0510C">
      <w:pPr>
        <w:tabs>
          <w:tab w:val="left" w:pos="720"/>
        </w:tabs>
        <w:spacing w:after="0"/>
        <w:ind w:left="90"/>
      </w:pPr>
    </w:p>
    <w:p w:rsidR="00C70883" w:rsidRDefault="00C70883" w:rsidP="00D0510C">
      <w:pPr>
        <w:tabs>
          <w:tab w:val="left" w:pos="720"/>
        </w:tabs>
        <w:spacing w:after="0"/>
        <w:ind w:left="90"/>
      </w:pPr>
    </w:p>
    <w:p w:rsidR="00C70883" w:rsidRDefault="00C70883" w:rsidP="00D0510C">
      <w:pPr>
        <w:tabs>
          <w:tab w:val="left" w:pos="720"/>
        </w:tabs>
        <w:spacing w:after="0"/>
        <w:ind w:left="90"/>
      </w:pPr>
    </w:p>
    <w:p w:rsidR="00BF019A" w:rsidRDefault="00AD46A6" w:rsidP="00BF019A">
      <w:pPr>
        <w:tabs>
          <w:tab w:val="left" w:pos="720"/>
        </w:tabs>
        <w:spacing w:after="0"/>
        <w:ind w:left="90"/>
      </w:pPr>
      <w:r>
        <w:t>For PN 186015001, the maximum back pressure specification is 15</w:t>
      </w:r>
      <w:r w:rsidR="004B58CB">
        <w:t>,</w:t>
      </w:r>
      <w:r>
        <w:t>000 PSI for the 1.0 m</w:t>
      </w:r>
      <w:r w:rsidR="004B58CB">
        <w:t>L</w:t>
      </w:r>
      <w:r>
        <w:t xml:space="preserve">/min. flow rate.  </w:t>
      </w:r>
      <w:r w:rsidR="00BF019A">
        <w:t xml:space="preserve">This specification can be referenced in the Functional Specification Document (FSD) </w:t>
      </w:r>
      <w:r w:rsidR="00BF6A89">
        <w:t>dated July 13, 2004 Rev.01</w:t>
      </w:r>
      <w:r w:rsidR="00BF019A">
        <w:t xml:space="preserve"> </w:t>
      </w:r>
      <w:r w:rsidR="00895A95">
        <w:t xml:space="preserve">– </w:t>
      </w:r>
      <w:r w:rsidR="00BF6A89">
        <w:t>Figure 1 Flow Rate/Pressure Envelope Diagram</w:t>
      </w:r>
      <w:r w:rsidR="00BF019A">
        <w:t xml:space="preserve">.  </w:t>
      </w:r>
      <w:bookmarkStart w:id="0" w:name="_GoBack"/>
      <w:bookmarkEnd w:id="0"/>
    </w:p>
    <w:p w:rsidR="00C70883" w:rsidRDefault="00C70883" w:rsidP="00BF019A">
      <w:pPr>
        <w:tabs>
          <w:tab w:val="left" w:pos="720"/>
        </w:tabs>
        <w:spacing w:after="0"/>
        <w:ind w:left="90"/>
      </w:pPr>
    </w:p>
    <w:p w:rsidR="00C70883" w:rsidRDefault="00C70883" w:rsidP="00BF019A">
      <w:pPr>
        <w:tabs>
          <w:tab w:val="left" w:pos="720"/>
        </w:tabs>
        <w:spacing w:after="0"/>
        <w:ind w:left="90"/>
      </w:pPr>
    </w:p>
    <w:p w:rsidR="00C70883" w:rsidRDefault="00944C75" w:rsidP="00BF019A">
      <w:pPr>
        <w:tabs>
          <w:tab w:val="left" w:pos="720"/>
        </w:tabs>
        <w:spacing w:after="0"/>
        <w:ind w:left="90"/>
      </w:pPr>
      <w:r>
        <w:rPr>
          <w:noProof/>
          <w:lang w:val="en-SG" w:eastAsia="zh-CN"/>
        </w:rPr>
        <w:drawing>
          <wp:inline distT="0" distB="0" distL="0" distR="0">
            <wp:extent cx="5745480" cy="4142105"/>
            <wp:effectExtent l="1905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745480" cy="4142105"/>
                    </a:xfrm>
                    <a:prstGeom prst="rect">
                      <a:avLst/>
                    </a:prstGeom>
                    <a:noFill/>
                    <a:ln w="9525">
                      <a:noFill/>
                      <a:miter lim="800000"/>
                      <a:headEnd/>
                      <a:tailEnd/>
                    </a:ln>
                  </pic:spPr>
                </pic:pic>
              </a:graphicData>
            </a:graphic>
          </wp:inline>
        </w:drawing>
      </w:r>
    </w:p>
    <w:p w:rsidR="00C70883" w:rsidRDefault="00C70883" w:rsidP="00BF019A">
      <w:pPr>
        <w:tabs>
          <w:tab w:val="left" w:pos="720"/>
        </w:tabs>
        <w:spacing w:after="0"/>
        <w:ind w:left="90"/>
      </w:pPr>
    </w:p>
    <w:p w:rsidR="00AD46A6" w:rsidRDefault="00AD46A6" w:rsidP="00D0510C">
      <w:pPr>
        <w:tabs>
          <w:tab w:val="left" w:pos="720"/>
        </w:tabs>
        <w:spacing w:after="0"/>
        <w:ind w:left="90"/>
      </w:pPr>
    </w:p>
    <w:p w:rsidR="009D344D" w:rsidRDefault="00AD46A6" w:rsidP="00D0510C">
      <w:pPr>
        <w:tabs>
          <w:tab w:val="left" w:pos="720"/>
        </w:tabs>
        <w:spacing w:after="0"/>
        <w:ind w:left="90"/>
      </w:pPr>
      <w:r>
        <w:t xml:space="preserve">The </w:t>
      </w:r>
      <w:r w:rsidR="00176B1F">
        <w:t>High Pressure test is performed using restrictor #3 in TE82943 test box.  This test station restrictor when using 100% MeOH and flowing at 1.0 m</w:t>
      </w:r>
      <w:r w:rsidR="004B58CB">
        <w:t>L</w:t>
      </w:r>
      <w:r w:rsidR="00176B1F">
        <w:t xml:space="preserve">/min. flow </w:t>
      </w:r>
      <w:r w:rsidR="00AD3C1F">
        <w:t>rate</w:t>
      </w:r>
      <w:r w:rsidR="00176B1F">
        <w:t xml:space="preserve"> will produce a back pressure </w:t>
      </w:r>
      <w:r w:rsidR="007C09FD">
        <w:t xml:space="preserve">of </w:t>
      </w:r>
      <w:r w:rsidR="009D344D">
        <w:t>approximately 11</w:t>
      </w:r>
      <w:r w:rsidR="00B63315">
        <w:t>,</w:t>
      </w:r>
      <w:r w:rsidR="009D344D">
        <w:t>287 PSI</w:t>
      </w:r>
      <w:r w:rsidR="00AD3C1F">
        <w:t xml:space="preserve"> (see </w:t>
      </w:r>
      <w:r w:rsidR="0077378E">
        <w:t xml:space="preserve">table </w:t>
      </w:r>
      <w:r w:rsidR="00AD3C1F">
        <w:t>below)</w:t>
      </w:r>
      <w:r w:rsidR="009D344D">
        <w:t xml:space="preserve">.  </w:t>
      </w:r>
      <w:r w:rsidR="007C09FD">
        <w:t>Slight variations</w:t>
      </w:r>
      <w:r w:rsidR="00B63315">
        <w:t xml:space="preserve"> (</w:t>
      </w:r>
      <w:r w:rsidR="0077378E">
        <w:t>±1,000 PSI</w:t>
      </w:r>
      <w:r w:rsidR="00B63315">
        <w:t>)</w:t>
      </w:r>
      <w:r w:rsidR="007C09FD">
        <w:t xml:space="preserve"> around this value will occur due to slight variations in exact lengths</w:t>
      </w:r>
      <w:r w:rsidR="00FD17C8">
        <w:t>, diameter tolerances,</w:t>
      </w:r>
      <w:r w:rsidR="007C09FD">
        <w:t xml:space="preserve"> and small particulates within the restrictor.  </w:t>
      </w:r>
    </w:p>
    <w:p w:rsidR="00382198" w:rsidRDefault="00382198" w:rsidP="00D0510C">
      <w:pPr>
        <w:tabs>
          <w:tab w:val="left" w:pos="720"/>
        </w:tabs>
        <w:spacing w:after="0"/>
        <w:ind w:left="90"/>
      </w:pPr>
    </w:p>
    <w:p w:rsidR="009D129A" w:rsidRDefault="009D129A" w:rsidP="00D0510C">
      <w:pPr>
        <w:tabs>
          <w:tab w:val="left" w:pos="720"/>
        </w:tabs>
        <w:spacing w:after="0"/>
        <w:ind w:left="90"/>
      </w:pPr>
      <w:r>
        <w:t>TE82943 Restrictor #3 specification:</w:t>
      </w:r>
    </w:p>
    <w:p w:rsidR="009D129A" w:rsidRDefault="009D129A" w:rsidP="00D0510C">
      <w:pPr>
        <w:tabs>
          <w:tab w:val="left" w:pos="720"/>
        </w:tabs>
        <w:spacing w:after="0"/>
        <w:ind w:left="90"/>
        <w:rPr>
          <w:rFonts w:ascii="Arial" w:hAnsi="Arial" w:cs="Arial"/>
          <w:color w:val="000000"/>
          <w:sz w:val="24"/>
          <w:szCs w:val="24"/>
        </w:rPr>
      </w:pPr>
      <w:r>
        <w:rPr>
          <w:rFonts w:ascii="Arial" w:hAnsi="Arial" w:cs="Arial"/>
          <w:color w:val="000000"/>
          <w:sz w:val="24"/>
          <w:szCs w:val="24"/>
        </w:rPr>
        <w:t>R3: 10,000 PSI, 47" (120 cm) of 50</w:t>
      </w:r>
      <w:r w:rsidR="00AD3C1F">
        <w:rPr>
          <w:rFonts w:ascii="Arial" w:hAnsi="Arial" w:cs="Arial"/>
          <w:color w:val="000000"/>
          <w:sz w:val="24"/>
          <w:szCs w:val="24"/>
        </w:rPr>
        <w:t>u</w:t>
      </w:r>
      <w:r>
        <w:rPr>
          <w:rFonts w:ascii="Arial" w:hAnsi="Arial" w:cs="Arial"/>
          <w:color w:val="000000"/>
          <w:sz w:val="24"/>
          <w:szCs w:val="24"/>
        </w:rPr>
        <w:t xml:space="preserve">m ID PEEKsil, (old </w:t>
      </w:r>
      <w:r w:rsidR="00B63315">
        <w:rPr>
          <w:rFonts w:ascii="Arial" w:hAnsi="Arial" w:cs="Arial"/>
          <w:color w:val="000000"/>
          <w:sz w:val="24"/>
          <w:szCs w:val="24"/>
        </w:rPr>
        <w:t xml:space="preserve">PN </w:t>
      </w:r>
      <w:r>
        <w:rPr>
          <w:rFonts w:ascii="Arial" w:hAnsi="Arial" w:cs="Arial"/>
          <w:color w:val="000000"/>
          <w:sz w:val="24"/>
          <w:szCs w:val="24"/>
        </w:rPr>
        <w:t xml:space="preserve">SGE OT03016) new </w:t>
      </w:r>
      <w:r w:rsidR="00B63315">
        <w:rPr>
          <w:rFonts w:ascii="Arial" w:hAnsi="Arial" w:cs="Arial"/>
          <w:color w:val="000000"/>
          <w:sz w:val="24"/>
          <w:szCs w:val="24"/>
        </w:rPr>
        <w:t xml:space="preserve">PN </w:t>
      </w:r>
      <w:r>
        <w:rPr>
          <w:rFonts w:ascii="Arial" w:hAnsi="Arial" w:cs="Arial"/>
          <w:color w:val="000000"/>
          <w:sz w:val="24"/>
          <w:szCs w:val="24"/>
        </w:rPr>
        <w:t>Trajan PN 0624400</w:t>
      </w:r>
    </w:p>
    <w:p w:rsidR="009D129A" w:rsidRDefault="009D129A" w:rsidP="00D0510C">
      <w:pPr>
        <w:tabs>
          <w:tab w:val="left" w:pos="720"/>
        </w:tabs>
        <w:spacing w:after="0"/>
        <w:ind w:left="90"/>
      </w:pPr>
    </w:p>
    <w:p w:rsidR="009D129A" w:rsidRDefault="00DD0339" w:rsidP="009D129A">
      <w:pPr>
        <w:tabs>
          <w:tab w:val="left" w:pos="720"/>
        </w:tabs>
        <w:spacing w:after="0"/>
        <w:ind w:left="90"/>
      </w:pPr>
      <w:r>
        <w:br w:type="page"/>
      </w:r>
      <w:r w:rsidR="009D129A">
        <w:lastRenderedPageBreak/>
        <w:t>Back Pressure Calculation</w:t>
      </w:r>
      <w:r w:rsidR="00AD3C1F">
        <w:t xml:space="preserve">, according to </w:t>
      </w:r>
      <w:r w:rsidR="00E61728">
        <w:t xml:space="preserve">the </w:t>
      </w:r>
      <w:r w:rsidR="00AD3C1F">
        <w:t>Hagen-Poiseuille equation</w:t>
      </w:r>
      <w:r w:rsidR="009D129A">
        <w:t>:</w:t>
      </w:r>
      <w:r w:rsidR="00AD3C1F">
        <w:tab/>
      </w:r>
      <m:oMath>
        <m:r>
          <w:rPr>
            <w:rFonts w:ascii="Cambria Math" w:hAnsi="Cambria Math"/>
          </w:rPr>
          <m:t xml:space="preserve">Q= </m:t>
        </m:r>
        <m:f>
          <m:fPr>
            <m:ctrlPr>
              <w:rPr>
                <w:rFonts w:ascii="Cambria Math" w:hAnsi="Cambria Math"/>
                <w:i/>
              </w:rPr>
            </m:ctrlPr>
          </m:fPr>
          <m:num>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4</m:t>
                </m:r>
              </m:sup>
            </m:sSup>
          </m:num>
          <m:den>
            <m:r>
              <w:rPr>
                <w:rFonts w:ascii="Cambria Math" w:hAnsi="Cambria Math"/>
              </w:rPr>
              <m:t>8νL</m:t>
            </m:r>
          </m:den>
        </m:f>
        <m:r>
          <w:rPr>
            <w:rFonts w:ascii="Cambria Math" w:hAnsi="Cambria Math"/>
          </w:rPr>
          <m:t xml:space="preserve"> </m:t>
        </m:r>
        <m:r>
          <m:rPr>
            <m:sty m:val="p"/>
          </m:rPr>
          <w:rPr>
            <w:rFonts w:ascii="Cambria Math" w:hAnsi="Cambria Math" w:hint="eastAsia"/>
          </w:rPr>
          <m:t>Δ</m:t>
        </m:r>
        <m:r>
          <w:rPr>
            <w:rFonts w:ascii="Cambria Math" w:hAnsi="Cambria Math"/>
          </w:rPr>
          <m:t>p</m:t>
        </m:r>
      </m:oMath>
    </w:p>
    <w:p w:rsidR="00382198" w:rsidRDefault="00944C75" w:rsidP="00D0510C">
      <w:pPr>
        <w:tabs>
          <w:tab w:val="left" w:pos="720"/>
        </w:tabs>
        <w:spacing w:after="0"/>
        <w:ind w:left="90"/>
      </w:pPr>
      <w:r>
        <w:rPr>
          <w:noProof/>
          <w:lang w:val="en-SG" w:eastAsia="zh-CN"/>
        </w:rPr>
        <w:drawing>
          <wp:inline distT="0" distB="0" distL="0" distR="0">
            <wp:extent cx="3486785" cy="167894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3486785" cy="1678940"/>
                    </a:xfrm>
                    <a:prstGeom prst="rect">
                      <a:avLst/>
                    </a:prstGeom>
                    <a:noFill/>
                    <a:ln w="9525">
                      <a:noFill/>
                      <a:miter lim="800000"/>
                      <a:headEnd/>
                      <a:tailEnd/>
                    </a:ln>
                  </pic:spPr>
                </pic:pic>
              </a:graphicData>
            </a:graphic>
          </wp:inline>
        </w:drawing>
      </w:r>
    </w:p>
    <w:p w:rsidR="00382198" w:rsidRDefault="00382198" w:rsidP="00D0510C">
      <w:pPr>
        <w:tabs>
          <w:tab w:val="left" w:pos="720"/>
        </w:tabs>
        <w:spacing w:after="0"/>
        <w:ind w:left="90"/>
      </w:pPr>
    </w:p>
    <w:p w:rsidR="007C09FD" w:rsidRDefault="007C09FD" w:rsidP="00D0510C">
      <w:pPr>
        <w:tabs>
          <w:tab w:val="left" w:pos="720"/>
        </w:tabs>
        <w:spacing w:after="0"/>
        <w:ind w:left="90"/>
      </w:pPr>
      <w:r>
        <w:t>Test limits of 9</w:t>
      </w:r>
      <w:r w:rsidR="00B63315">
        <w:t>,</w:t>
      </w:r>
      <w:r>
        <w:t>000 PSI to 14</w:t>
      </w:r>
      <w:r w:rsidR="00B63315">
        <w:t>,</w:t>
      </w:r>
      <w:r>
        <w:t xml:space="preserve">500 PSI were chosen to represent a window sufficiently large enough to accommodate any variability across multiple testers and to confirm the pump is flowing at a high back pressure.  </w:t>
      </w:r>
    </w:p>
    <w:p w:rsidR="00DD0339" w:rsidRDefault="00DD0339" w:rsidP="00DD0339">
      <w:pPr>
        <w:tabs>
          <w:tab w:val="left" w:pos="720"/>
        </w:tabs>
        <w:spacing w:after="0"/>
        <w:ind w:left="90"/>
        <w:rPr>
          <w:b/>
          <w:sz w:val="24"/>
          <w:szCs w:val="24"/>
        </w:rPr>
      </w:pPr>
    </w:p>
    <w:p w:rsidR="00DD0339" w:rsidRDefault="00DD0339" w:rsidP="00DD0339">
      <w:pPr>
        <w:tabs>
          <w:tab w:val="left" w:pos="720"/>
        </w:tabs>
        <w:spacing w:after="0"/>
        <w:ind w:left="90"/>
        <w:rPr>
          <w:b/>
          <w:sz w:val="24"/>
          <w:szCs w:val="24"/>
        </w:rPr>
      </w:pPr>
    </w:p>
    <w:p w:rsidR="00DD0339" w:rsidRPr="000E71AF" w:rsidRDefault="00DD0339" w:rsidP="00DD0339">
      <w:pPr>
        <w:tabs>
          <w:tab w:val="left" w:pos="720"/>
        </w:tabs>
        <w:spacing w:after="0"/>
        <w:ind w:left="90"/>
        <w:rPr>
          <w:b/>
          <w:sz w:val="24"/>
          <w:szCs w:val="24"/>
        </w:rPr>
      </w:pPr>
      <w:r w:rsidRPr="000E71AF">
        <w:rPr>
          <w:b/>
          <w:sz w:val="24"/>
          <w:szCs w:val="24"/>
        </w:rPr>
        <w:t>Conclusions</w:t>
      </w:r>
    </w:p>
    <w:p w:rsidR="00DD0339" w:rsidRDefault="00DD0339" w:rsidP="00DD0339">
      <w:pPr>
        <w:tabs>
          <w:tab w:val="left" w:pos="720"/>
        </w:tabs>
        <w:spacing w:after="0"/>
        <w:ind w:left="90"/>
      </w:pPr>
      <w:r>
        <w:t xml:space="preserve">The High Pressure test for the BSM pump is designed to provide an extra layer of confidence in the instrument build.  The test limits are margined wide enough to allow for any large variation in the restrictors used across all of the TE82943 test boxes.  A failure of this test will occur if the BSM goes into an alarm state and shuts down, in which the back pressure will drop to a reading near zero as a result.  </w:t>
      </w:r>
    </w:p>
    <w:p w:rsidR="00C70DBE" w:rsidRDefault="00E61728" w:rsidP="00D0510C">
      <w:pPr>
        <w:tabs>
          <w:tab w:val="left" w:pos="720"/>
        </w:tabs>
        <w:spacing w:after="0"/>
        <w:ind w:left="90"/>
      </w:pPr>
      <w:r>
        <w:t xml:space="preserve">An instrument would have proven </w:t>
      </w:r>
      <w:r w:rsidR="00261CD6">
        <w:t>to have tight seals and able to produce correct flow rates</w:t>
      </w:r>
      <w:r w:rsidR="00FD17C8">
        <w:t xml:space="preserve"> due to passing previous tests</w:t>
      </w:r>
      <w:r>
        <w:t xml:space="preserve">.  This test checks for the ability of the BSM to </w:t>
      </w:r>
      <w:r w:rsidR="00723F5A">
        <w:t>sustain high pressure</w:t>
      </w:r>
      <w:r w:rsidR="009D344D">
        <w:t>.</w:t>
      </w:r>
      <w:r>
        <w:t xml:space="preserve">  Long-term functionality of the pump has been determined by reliability, and is outside of the scope of a manufacturing test.</w:t>
      </w:r>
      <w:r w:rsidR="009D344D">
        <w:t xml:space="preserve">  </w:t>
      </w:r>
    </w:p>
    <w:p w:rsidR="00C93346" w:rsidRDefault="00C93346" w:rsidP="00741C27">
      <w:pPr>
        <w:tabs>
          <w:tab w:val="left" w:pos="720"/>
        </w:tabs>
        <w:spacing w:after="0"/>
        <w:ind w:left="90"/>
      </w:pPr>
    </w:p>
    <w:sectPr w:rsidR="00C93346" w:rsidSect="00330D63">
      <w:footerReference w:type="default" r:id="rId12"/>
      <w:pgSz w:w="12240" w:h="15840"/>
      <w:pgMar w:top="540" w:right="810" w:bottom="14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CCA" w:rsidRDefault="00CB0CCA" w:rsidP="00246A82">
      <w:pPr>
        <w:spacing w:after="0" w:line="240" w:lineRule="auto"/>
      </w:pPr>
      <w:r>
        <w:separator/>
      </w:r>
    </w:p>
  </w:endnote>
  <w:endnote w:type="continuationSeparator" w:id="0">
    <w:p w:rsidR="00CB0CCA" w:rsidRDefault="00CB0CCA" w:rsidP="00246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A82" w:rsidRDefault="00246A82">
    <w:pPr>
      <w:pStyle w:val="Footer"/>
      <w:jc w:val="center"/>
    </w:pPr>
    <w:r>
      <w:t xml:space="preserve">Page </w:t>
    </w:r>
    <w:r w:rsidR="00DB6F00">
      <w:rPr>
        <w:b/>
        <w:sz w:val="24"/>
        <w:szCs w:val="24"/>
      </w:rPr>
      <w:fldChar w:fldCharType="begin"/>
    </w:r>
    <w:r>
      <w:rPr>
        <w:b/>
      </w:rPr>
      <w:instrText xml:space="preserve"> PAGE </w:instrText>
    </w:r>
    <w:r w:rsidR="00DB6F00">
      <w:rPr>
        <w:b/>
        <w:sz w:val="24"/>
        <w:szCs w:val="24"/>
      </w:rPr>
      <w:fldChar w:fldCharType="separate"/>
    </w:r>
    <w:r w:rsidR="00FF1836">
      <w:rPr>
        <w:b/>
        <w:noProof/>
      </w:rPr>
      <w:t>3</w:t>
    </w:r>
    <w:r w:rsidR="00DB6F00">
      <w:rPr>
        <w:b/>
        <w:sz w:val="24"/>
        <w:szCs w:val="24"/>
      </w:rPr>
      <w:fldChar w:fldCharType="end"/>
    </w:r>
    <w:r>
      <w:t xml:space="preserve"> of </w:t>
    </w:r>
    <w:r w:rsidR="00DB6F00">
      <w:rPr>
        <w:b/>
        <w:sz w:val="24"/>
        <w:szCs w:val="24"/>
      </w:rPr>
      <w:fldChar w:fldCharType="begin"/>
    </w:r>
    <w:r>
      <w:rPr>
        <w:b/>
      </w:rPr>
      <w:instrText xml:space="preserve"> NUMPAGES  </w:instrText>
    </w:r>
    <w:r w:rsidR="00DB6F00">
      <w:rPr>
        <w:b/>
        <w:sz w:val="24"/>
        <w:szCs w:val="24"/>
      </w:rPr>
      <w:fldChar w:fldCharType="separate"/>
    </w:r>
    <w:r w:rsidR="00FF1836">
      <w:rPr>
        <w:b/>
        <w:noProof/>
      </w:rPr>
      <w:t>3</w:t>
    </w:r>
    <w:r w:rsidR="00DB6F00">
      <w:rPr>
        <w:b/>
        <w:sz w:val="24"/>
        <w:szCs w:val="24"/>
      </w:rPr>
      <w:fldChar w:fldCharType="end"/>
    </w:r>
  </w:p>
  <w:p w:rsidR="00246A82" w:rsidRDefault="00246A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CCA" w:rsidRDefault="00CB0CCA" w:rsidP="00246A82">
      <w:pPr>
        <w:spacing w:after="0" w:line="240" w:lineRule="auto"/>
      </w:pPr>
      <w:r>
        <w:separator/>
      </w:r>
    </w:p>
  </w:footnote>
  <w:footnote w:type="continuationSeparator" w:id="0">
    <w:p w:rsidR="00CB0CCA" w:rsidRDefault="00CB0CCA" w:rsidP="00246A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895"/>
    <w:rsid w:val="00006E5B"/>
    <w:rsid w:val="000112E4"/>
    <w:rsid w:val="00032C10"/>
    <w:rsid w:val="000501D9"/>
    <w:rsid w:val="000804DB"/>
    <w:rsid w:val="000B6BC2"/>
    <w:rsid w:val="000E71AF"/>
    <w:rsid w:val="00101895"/>
    <w:rsid w:val="001056E6"/>
    <w:rsid w:val="0010596C"/>
    <w:rsid w:val="00127369"/>
    <w:rsid w:val="001313EC"/>
    <w:rsid w:val="001536F8"/>
    <w:rsid w:val="00154757"/>
    <w:rsid w:val="00176B1F"/>
    <w:rsid w:val="00181CAC"/>
    <w:rsid w:val="002400E3"/>
    <w:rsid w:val="00246A82"/>
    <w:rsid w:val="00261CD6"/>
    <w:rsid w:val="002876E8"/>
    <w:rsid w:val="002A3B9E"/>
    <w:rsid w:val="002A5B43"/>
    <w:rsid w:val="002B5540"/>
    <w:rsid w:val="002D2120"/>
    <w:rsid w:val="002D44BD"/>
    <w:rsid w:val="002F038A"/>
    <w:rsid w:val="00330D63"/>
    <w:rsid w:val="00342CEC"/>
    <w:rsid w:val="00355A61"/>
    <w:rsid w:val="00376AA2"/>
    <w:rsid w:val="00382198"/>
    <w:rsid w:val="003E6130"/>
    <w:rsid w:val="00434619"/>
    <w:rsid w:val="00472689"/>
    <w:rsid w:val="00481CCE"/>
    <w:rsid w:val="00491596"/>
    <w:rsid w:val="00497742"/>
    <w:rsid w:val="004A3A14"/>
    <w:rsid w:val="004A6C72"/>
    <w:rsid w:val="004B58CB"/>
    <w:rsid w:val="004D16F3"/>
    <w:rsid w:val="004D7BE1"/>
    <w:rsid w:val="004F001F"/>
    <w:rsid w:val="00514AC9"/>
    <w:rsid w:val="00522986"/>
    <w:rsid w:val="00555A18"/>
    <w:rsid w:val="00586D2C"/>
    <w:rsid w:val="005922B6"/>
    <w:rsid w:val="0059690E"/>
    <w:rsid w:val="005D6417"/>
    <w:rsid w:val="00613F2E"/>
    <w:rsid w:val="00631E6D"/>
    <w:rsid w:val="006422FF"/>
    <w:rsid w:val="0064325E"/>
    <w:rsid w:val="006450DC"/>
    <w:rsid w:val="00671B9F"/>
    <w:rsid w:val="00675C9B"/>
    <w:rsid w:val="00677D48"/>
    <w:rsid w:val="006B0ED7"/>
    <w:rsid w:val="006C1F34"/>
    <w:rsid w:val="006C48A2"/>
    <w:rsid w:val="007219EA"/>
    <w:rsid w:val="00723F5A"/>
    <w:rsid w:val="0072503F"/>
    <w:rsid w:val="00741C27"/>
    <w:rsid w:val="0077378E"/>
    <w:rsid w:val="00773CA0"/>
    <w:rsid w:val="0077565F"/>
    <w:rsid w:val="007933AD"/>
    <w:rsid w:val="007C09FD"/>
    <w:rsid w:val="007E3664"/>
    <w:rsid w:val="007F05A1"/>
    <w:rsid w:val="00821A13"/>
    <w:rsid w:val="00881DBB"/>
    <w:rsid w:val="00885B79"/>
    <w:rsid w:val="00895A95"/>
    <w:rsid w:val="008A0027"/>
    <w:rsid w:val="008A2AEE"/>
    <w:rsid w:val="0090001A"/>
    <w:rsid w:val="00944C75"/>
    <w:rsid w:val="00945487"/>
    <w:rsid w:val="00971B94"/>
    <w:rsid w:val="009831CD"/>
    <w:rsid w:val="00996A2A"/>
    <w:rsid w:val="009D129A"/>
    <w:rsid w:val="009D344D"/>
    <w:rsid w:val="009E004C"/>
    <w:rsid w:val="009E78A4"/>
    <w:rsid w:val="009F3F05"/>
    <w:rsid w:val="00A340E9"/>
    <w:rsid w:val="00A630D5"/>
    <w:rsid w:val="00A654B2"/>
    <w:rsid w:val="00A815FC"/>
    <w:rsid w:val="00A97217"/>
    <w:rsid w:val="00AA219E"/>
    <w:rsid w:val="00AA44D2"/>
    <w:rsid w:val="00AC5F9B"/>
    <w:rsid w:val="00AD3C1F"/>
    <w:rsid w:val="00AD46A6"/>
    <w:rsid w:val="00AD55C1"/>
    <w:rsid w:val="00AD712C"/>
    <w:rsid w:val="00AF725B"/>
    <w:rsid w:val="00B16832"/>
    <w:rsid w:val="00B22113"/>
    <w:rsid w:val="00B63315"/>
    <w:rsid w:val="00B738D4"/>
    <w:rsid w:val="00B84B88"/>
    <w:rsid w:val="00BA1F0D"/>
    <w:rsid w:val="00BE1A93"/>
    <w:rsid w:val="00BE3AB6"/>
    <w:rsid w:val="00BF019A"/>
    <w:rsid w:val="00BF6A89"/>
    <w:rsid w:val="00C0038E"/>
    <w:rsid w:val="00C04309"/>
    <w:rsid w:val="00C266A4"/>
    <w:rsid w:val="00C477F2"/>
    <w:rsid w:val="00C5001A"/>
    <w:rsid w:val="00C70883"/>
    <w:rsid w:val="00C70DBE"/>
    <w:rsid w:val="00C93346"/>
    <w:rsid w:val="00CA476F"/>
    <w:rsid w:val="00CB0CCA"/>
    <w:rsid w:val="00CB3A81"/>
    <w:rsid w:val="00CF0735"/>
    <w:rsid w:val="00CF6881"/>
    <w:rsid w:val="00D0510C"/>
    <w:rsid w:val="00D441C2"/>
    <w:rsid w:val="00D57023"/>
    <w:rsid w:val="00D64096"/>
    <w:rsid w:val="00D770EC"/>
    <w:rsid w:val="00D974C6"/>
    <w:rsid w:val="00DA4063"/>
    <w:rsid w:val="00DB6F00"/>
    <w:rsid w:val="00DC4C04"/>
    <w:rsid w:val="00DD0339"/>
    <w:rsid w:val="00DD07DA"/>
    <w:rsid w:val="00DD33B8"/>
    <w:rsid w:val="00DD6183"/>
    <w:rsid w:val="00DE485F"/>
    <w:rsid w:val="00DF26FA"/>
    <w:rsid w:val="00DF4C19"/>
    <w:rsid w:val="00E20BF4"/>
    <w:rsid w:val="00E35F4D"/>
    <w:rsid w:val="00E36EE6"/>
    <w:rsid w:val="00E37321"/>
    <w:rsid w:val="00E61728"/>
    <w:rsid w:val="00E714FA"/>
    <w:rsid w:val="00E743E0"/>
    <w:rsid w:val="00E97EA2"/>
    <w:rsid w:val="00EB2CFF"/>
    <w:rsid w:val="00EB7078"/>
    <w:rsid w:val="00EB7414"/>
    <w:rsid w:val="00EC7C6B"/>
    <w:rsid w:val="00F3377B"/>
    <w:rsid w:val="00F607E7"/>
    <w:rsid w:val="00F975FE"/>
    <w:rsid w:val="00FD17C8"/>
    <w:rsid w:val="00FE4250"/>
    <w:rsid w:val="00FF1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3E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1E6D"/>
    <w:pPr>
      <w:spacing w:after="0" w:line="240" w:lineRule="auto"/>
    </w:pPr>
    <w:rPr>
      <w:rFonts w:ascii="Tahoma" w:hAnsi="Tahoma"/>
      <w:sz w:val="16"/>
      <w:szCs w:val="16"/>
    </w:rPr>
  </w:style>
  <w:style w:type="character" w:customStyle="1" w:styleId="BalloonTextChar">
    <w:name w:val="Balloon Text Char"/>
    <w:link w:val="BalloonText"/>
    <w:uiPriority w:val="99"/>
    <w:semiHidden/>
    <w:rsid w:val="00631E6D"/>
    <w:rPr>
      <w:rFonts w:ascii="Tahoma" w:hAnsi="Tahoma" w:cs="Tahoma"/>
      <w:sz w:val="16"/>
      <w:szCs w:val="16"/>
    </w:rPr>
  </w:style>
  <w:style w:type="character" w:styleId="CommentReference">
    <w:name w:val="annotation reference"/>
    <w:uiPriority w:val="99"/>
    <w:semiHidden/>
    <w:unhideWhenUsed/>
    <w:rsid w:val="00E36EE6"/>
    <w:rPr>
      <w:sz w:val="16"/>
      <w:szCs w:val="16"/>
    </w:rPr>
  </w:style>
  <w:style w:type="paragraph" w:styleId="CommentText">
    <w:name w:val="annotation text"/>
    <w:basedOn w:val="Normal"/>
    <w:link w:val="CommentTextChar"/>
    <w:uiPriority w:val="99"/>
    <w:semiHidden/>
    <w:unhideWhenUsed/>
    <w:rsid w:val="00E36EE6"/>
    <w:rPr>
      <w:sz w:val="20"/>
      <w:szCs w:val="20"/>
    </w:rPr>
  </w:style>
  <w:style w:type="character" w:customStyle="1" w:styleId="CommentTextChar">
    <w:name w:val="Comment Text Char"/>
    <w:basedOn w:val="DefaultParagraphFont"/>
    <w:link w:val="CommentText"/>
    <w:uiPriority w:val="99"/>
    <w:semiHidden/>
    <w:rsid w:val="00E36EE6"/>
  </w:style>
  <w:style w:type="paragraph" w:styleId="CommentSubject">
    <w:name w:val="annotation subject"/>
    <w:basedOn w:val="CommentText"/>
    <w:next w:val="CommentText"/>
    <w:link w:val="CommentSubjectChar"/>
    <w:uiPriority w:val="99"/>
    <w:semiHidden/>
    <w:unhideWhenUsed/>
    <w:rsid w:val="00E36EE6"/>
    <w:rPr>
      <w:b/>
      <w:bCs/>
    </w:rPr>
  </w:style>
  <w:style w:type="character" w:customStyle="1" w:styleId="CommentSubjectChar">
    <w:name w:val="Comment Subject Char"/>
    <w:link w:val="CommentSubject"/>
    <w:uiPriority w:val="99"/>
    <w:semiHidden/>
    <w:rsid w:val="00E36EE6"/>
    <w:rPr>
      <w:b/>
      <w:bCs/>
    </w:rPr>
  </w:style>
  <w:style w:type="paragraph" w:styleId="Header">
    <w:name w:val="header"/>
    <w:basedOn w:val="Normal"/>
    <w:link w:val="HeaderChar"/>
    <w:uiPriority w:val="99"/>
    <w:semiHidden/>
    <w:unhideWhenUsed/>
    <w:rsid w:val="00246A82"/>
    <w:pPr>
      <w:tabs>
        <w:tab w:val="center" w:pos="4680"/>
        <w:tab w:val="right" w:pos="9360"/>
      </w:tabs>
    </w:pPr>
  </w:style>
  <w:style w:type="character" w:customStyle="1" w:styleId="HeaderChar">
    <w:name w:val="Header Char"/>
    <w:basedOn w:val="DefaultParagraphFont"/>
    <w:link w:val="Header"/>
    <w:uiPriority w:val="99"/>
    <w:semiHidden/>
    <w:rsid w:val="00246A82"/>
    <w:rPr>
      <w:sz w:val="22"/>
      <w:szCs w:val="22"/>
    </w:rPr>
  </w:style>
  <w:style w:type="paragraph" w:styleId="Footer">
    <w:name w:val="footer"/>
    <w:basedOn w:val="Normal"/>
    <w:link w:val="FooterChar"/>
    <w:uiPriority w:val="99"/>
    <w:unhideWhenUsed/>
    <w:rsid w:val="00246A82"/>
    <w:pPr>
      <w:tabs>
        <w:tab w:val="center" w:pos="4680"/>
        <w:tab w:val="right" w:pos="9360"/>
      </w:tabs>
    </w:pPr>
  </w:style>
  <w:style w:type="character" w:customStyle="1" w:styleId="FooterChar">
    <w:name w:val="Footer Char"/>
    <w:basedOn w:val="DefaultParagraphFont"/>
    <w:link w:val="Footer"/>
    <w:uiPriority w:val="99"/>
    <w:rsid w:val="00246A82"/>
    <w:rPr>
      <w:sz w:val="22"/>
      <w:szCs w:val="22"/>
    </w:rPr>
  </w:style>
  <w:style w:type="paragraph" w:styleId="Revision">
    <w:name w:val="Revision"/>
    <w:hidden/>
    <w:uiPriority w:val="99"/>
    <w:semiHidden/>
    <w:rsid w:val="00B22113"/>
    <w:rPr>
      <w:sz w:val="22"/>
      <w:szCs w:val="22"/>
    </w:rPr>
  </w:style>
  <w:style w:type="character" w:styleId="PlaceholderText">
    <w:name w:val="Placeholder Text"/>
    <w:basedOn w:val="DefaultParagraphFont"/>
    <w:uiPriority w:val="99"/>
    <w:semiHidden/>
    <w:rsid w:val="002D212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3E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1E6D"/>
    <w:pPr>
      <w:spacing w:after="0" w:line="240" w:lineRule="auto"/>
    </w:pPr>
    <w:rPr>
      <w:rFonts w:ascii="Tahoma" w:hAnsi="Tahoma"/>
      <w:sz w:val="16"/>
      <w:szCs w:val="16"/>
    </w:rPr>
  </w:style>
  <w:style w:type="character" w:customStyle="1" w:styleId="BalloonTextChar">
    <w:name w:val="Balloon Text Char"/>
    <w:link w:val="BalloonText"/>
    <w:uiPriority w:val="99"/>
    <w:semiHidden/>
    <w:rsid w:val="00631E6D"/>
    <w:rPr>
      <w:rFonts w:ascii="Tahoma" w:hAnsi="Tahoma" w:cs="Tahoma"/>
      <w:sz w:val="16"/>
      <w:szCs w:val="16"/>
    </w:rPr>
  </w:style>
  <w:style w:type="character" w:styleId="CommentReference">
    <w:name w:val="annotation reference"/>
    <w:uiPriority w:val="99"/>
    <w:semiHidden/>
    <w:unhideWhenUsed/>
    <w:rsid w:val="00E36EE6"/>
    <w:rPr>
      <w:sz w:val="16"/>
      <w:szCs w:val="16"/>
    </w:rPr>
  </w:style>
  <w:style w:type="paragraph" w:styleId="CommentText">
    <w:name w:val="annotation text"/>
    <w:basedOn w:val="Normal"/>
    <w:link w:val="CommentTextChar"/>
    <w:uiPriority w:val="99"/>
    <w:semiHidden/>
    <w:unhideWhenUsed/>
    <w:rsid w:val="00E36EE6"/>
    <w:rPr>
      <w:sz w:val="20"/>
      <w:szCs w:val="20"/>
    </w:rPr>
  </w:style>
  <w:style w:type="character" w:customStyle="1" w:styleId="CommentTextChar">
    <w:name w:val="Comment Text Char"/>
    <w:basedOn w:val="DefaultParagraphFont"/>
    <w:link w:val="CommentText"/>
    <w:uiPriority w:val="99"/>
    <w:semiHidden/>
    <w:rsid w:val="00E36EE6"/>
  </w:style>
  <w:style w:type="paragraph" w:styleId="CommentSubject">
    <w:name w:val="annotation subject"/>
    <w:basedOn w:val="CommentText"/>
    <w:next w:val="CommentText"/>
    <w:link w:val="CommentSubjectChar"/>
    <w:uiPriority w:val="99"/>
    <w:semiHidden/>
    <w:unhideWhenUsed/>
    <w:rsid w:val="00E36EE6"/>
    <w:rPr>
      <w:b/>
      <w:bCs/>
    </w:rPr>
  </w:style>
  <w:style w:type="character" w:customStyle="1" w:styleId="CommentSubjectChar">
    <w:name w:val="Comment Subject Char"/>
    <w:link w:val="CommentSubject"/>
    <w:uiPriority w:val="99"/>
    <w:semiHidden/>
    <w:rsid w:val="00E36EE6"/>
    <w:rPr>
      <w:b/>
      <w:bCs/>
    </w:rPr>
  </w:style>
  <w:style w:type="paragraph" w:styleId="Header">
    <w:name w:val="header"/>
    <w:basedOn w:val="Normal"/>
    <w:link w:val="HeaderChar"/>
    <w:uiPriority w:val="99"/>
    <w:semiHidden/>
    <w:unhideWhenUsed/>
    <w:rsid w:val="00246A82"/>
    <w:pPr>
      <w:tabs>
        <w:tab w:val="center" w:pos="4680"/>
        <w:tab w:val="right" w:pos="9360"/>
      </w:tabs>
    </w:pPr>
  </w:style>
  <w:style w:type="character" w:customStyle="1" w:styleId="HeaderChar">
    <w:name w:val="Header Char"/>
    <w:basedOn w:val="DefaultParagraphFont"/>
    <w:link w:val="Header"/>
    <w:uiPriority w:val="99"/>
    <w:semiHidden/>
    <w:rsid w:val="00246A82"/>
    <w:rPr>
      <w:sz w:val="22"/>
      <w:szCs w:val="22"/>
    </w:rPr>
  </w:style>
  <w:style w:type="paragraph" w:styleId="Footer">
    <w:name w:val="footer"/>
    <w:basedOn w:val="Normal"/>
    <w:link w:val="FooterChar"/>
    <w:uiPriority w:val="99"/>
    <w:unhideWhenUsed/>
    <w:rsid w:val="00246A82"/>
    <w:pPr>
      <w:tabs>
        <w:tab w:val="center" w:pos="4680"/>
        <w:tab w:val="right" w:pos="9360"/>
      </w:tabs>
    </w:pPr>
  </w:style>
  <w:style w:type="character" w:customStyle="1" w:styleId="FooterChar">
    <w:name w:val="Footer Char"/>
    <w:basedOn w:val="DefaultParagraphFont"/>
    <w:link w:val="Footer"/>
    <w:uiPriority w:val="99"/>
    <w:rsid w:val="00246A82"/>
    <w:rPr>
      <w:sz w:val="22"/>
      <w:szCs w:val="22"/>
    </w:rPr>
  </w:style>
  <w:style w:type="paragraph" w:styleId="Revision">
    <w:name w:val="Revision"/>
    <w:hidden/>
    <w:uiPriority w:val="99"/>
    <w:semiHidden/>
    <w:rsid w:val="00B22113"/>
    <w:rPr>
      <w:sz w:val="22"/>
      <w:szCs w:val="22"/>
    </w:rPr>
  </w:style>
  <w:style w:type="character" w:styleId="PlaceholderText">
    <w:name w:val="Placeholder Text"/>
    <w:basedOn w:val="DefaultParagraphFont"/>
    <w:uiPriority w:val="99"/>
    <w:semiHidden/>
    <w:rsid w:val="002D212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ullinj\Local%20Settings\Temporary%20Internet%20Files\OLKA\waters_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13D9CD-D86C-43C5-9E9E-88CCCAE7D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waters_memo</Template>
  <TotalTime>2</TotalTime>
  <Pages>3</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 Jackson;Andre Kopoyan</dc:creator>
  <cp:lastModifiedBy>HuaZhen Luo</cp:lastModifiedBy>
  <cp:revision>2</cp:revision>
  <cp:lastPrinted>2016-12-02T16:41:00Z</cp:lastPrinted>
  <dcterms:created xsi:type="dcterms:W3CDTF">2018-08-31T00:53:00Z</dcterms:created>
  <dcterms:modified xsi:type="dcterms:W3CDTF">2018-08-31T00:53:00Z</dcterms:modified>
</cp:coreProperties>
</file>